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93D2" w14:textId="77777777" w:rsidR="000C5FAD" w:rsidRPr="003537CB" w:rsidRDefault="009F7775" w:rsidP="00EA35AB">
      <w:pPr>
        <w:spacing w:before="320" w:after="240"/>
        <w:jc w:val="center"/>
        <w:rPr>
          <w:b/>
          <w:sz w:val="28"/>
          <w:lang w:val="en-US"/>
        </w:rPr>
      </w:pPr>
      <w:bookmarkStart w:id="0" w:name="_GoBack"/>
      <w:bookmarkEnd w:id="0"/>
      <w:r w:rsidRPr="003537CB">
        <w:rPr>
          <w:b/>
          <w:sz w:val="28"/>
        </w:rPr>
        <w:t xml:space="preserve">Celebrating International Day of Persons with Disabilities, </w:t>
      </w:r>
      <w:r w:rsidR="003537CB">
        <w:rPr>
          <w:b/>
          <w:sz w:val="28"/>
          <w:lang w:val="en-US"/>
        </w:rPr>
        <w:br/>
      </w:r>
      <w:r w:rsidRPr="003537CB">
        <w:rPr>
          <w:b/>
          <w:sz w:val="28"/>
        </w:rPr>
        <w:t>3</w:t>
      </w:r>
      <w:r w:rsidRPr="003537CB">
        <w:rPr>
          <w:b/>
          <w:sz w:val="28"/>
          <w:vertAlign w:val="superscript"/>
        </w:rPr>
        <w:t>rd</w:t>
      </w:r>
      <w:r w:rsidRPr="003537CB">
        <w:rPr>
          <w:b/>
          <w:sz w:val="28"/>
        </w:rPr>
        <w:t xml:space="preserve"> December 2023</w:t>
      </w:r>
    </w:p>
    <w:p w14:paraId="67D64224" w14:textId="637FA8BC" w:rsidR="009F7775" w:rsidRPr="004B05D9" w:rsidRDefault="009F7775" w:rsidP="003F504B">
      <w:pPr>
        <w:spacing w:after="200" w:line="312" w:lineRule="auto"/>
        <w:jc w:val="both"/>
      </w:pPr>
      <w:r w:rsidRPr="004B05D9">
        <w:t>The International Council for Education of People with Visual Impairment (ICEVI) joins the global community in celebrating the 2023 International Day of Persons with Disabilities (</w:t>
      </w:r>
      <w:proofErr w:type="spellStart"/>
      <w:r w:rsidRPr="004B05D9">
        <w:t>IDPwD</w:t>
      </w:r>
      <w:proofErr w:type="spellEnd"/>
      <w:r w:rsidRPr="004B05D9">
        <w:t xml:space="preserve">). Building on the principle of “leaving no one behind”, the United Nations theme for </w:t>
      </w:r>
      <w:proofErr w:type="spellStart"/>
      <w:r w:rsidRPr="004B05D9">
        <w:t>IDPwD</w:t>
      </w:r>
      <w:proofErr w:type="spellEnd"/>
      <w:r w:rsidRPr="004B05D9">
        <w:t xml:space="preserve"> 2923 </w:t>
      </w:r>
      <w:r w:rsidR="004B05D9">
        <w:t>is</w:t>
      </w:r>
      <w:r w:rsidRPr="004B05D9">
        <w:t xml:space="preserve"> “United in action to rescue and achieve the Sustainable Development Goals (SDGs) for, with and by persons with disabilities”. The United Nations emphasise that preliminary findings from the forthcoming UN </w:t>
      </w:r>
      <w:hyperlink r:id="rId8" w:history="1">
        <w:r w:rsidRPr="004B05D9">
          <w:rPr>
            <w:rStyle w:val="Hyperlink"/>
          </w:rPr>
          <w:t>Disability and Development Report 2023</w:t>
        </w:r>
      </w:hyperlink>
      <w:r w:rsidRPr="004B05D9">
        <w:t xml:space="preserve"> indicate that the world is even more off-track in meeting several SDGs for persons with disabilities. </w:t>
      </w:r>
    </w:p>
    <w:p w14:paraId="6396F367" w14:textId="4D75694C" w:rsidR="003B077F" w:rsidRDefault="003B077F" w:rsidP="003F504B">
      <w:pPr>
        <w:spacing w:after="200" w:line="312" w:lineRule="auto"/>
        <w:jc w:val="both"/>
      </w:pPr>
      <w:r>
        <w:t>We call on the global disability community</w:t>
      </w:r>
      <w:r w:rsidR="003537CB">
        <w:t xml:space="preserve">, </w:t>
      </w:r>
      <w:r w:rsidR="003537CB">
        <w:rPr>
          <w:rFonts w:cs="Arial"/>
          <w:color w:val="222222"/>
          <w:shd w:val="clear" w:color="auto" w:fill="FFFFFF"/>
        </w:rPr>
        <w:t>their parents, service providers and other stakeholders</w:t>
      </w:r>
      <w:r>
        <w:t xml:space="preserve"> to work together to progress Sustainable Development Goal 4</w:t>
      </w:r>
      <w:r w:rsidR="006C79C6">
        <w:t xml:space="preserve"> and its ten targets</w:t>
      </w:r>
      <w:r w:rsidRPr="003B077F">
        <w:t>,</w:t>
      </w:r>
      <w:r w:rsidR="006C79C6">
        <w:t xml:space="preserve"> to</w:t>
      </w:r>
      <w:r w:rsidRPr="003B077F">
        <w:t xml:space="preserve"> "Ensure inclusive and equitable quality education and promote lifelong learning opportunities for all"</w:t>
      </w:r>
      <w:r>
        <w:t xml:space="preserve">. </w:t>
      </w:r>
      <w:r w:rsidR="006C79C6">
        <w:t xml:space="preserve">Progressing </w:t>
      </w:r>
      <w:proofErr w:type="spellStart"/>
      <w:r w:rsidR="006C79C6">
        <w:t>f</w:t>
      </w:r>
      <w:r>
        <w:t>ulfillment</w:t>
      </w:r>
      <w:proofErr w:type="spellEnd"/>
      <w:r>
        <w:t xml:space="preserve"> of SDG</w:t>
      </w:r>
      <w:r w:rsidR="006C79C6">
        <w:t xml:space="preserve"> </w:t>
      </w:r>
      <w:r>
        <w:t xml:space="preserve">4 for children and young people with blindness, low vision, </w:t>
      </w:r>
      <w:proofErr w:type="spellStart"/>
      <w:r>
        <w:t>deafblindness</w:t>
      </w:r>
      <w:proofErr w:type="spellEnd"/>
      <w:r>
        <w:t>, and multiple disabilities includes</w:t>
      </w:r>
      <w:r w:rsidR="006C79C6">
        <w:t xml:space="preserve"> the following commitments and actions</w:t>
      </w:r>
      <w:r w:rsidR="00675857">
        <w:t xml:space="preserve"> by national governments</w:t>
      </w:r>
      <w:r w:rsidR="003662AD">
        <w:t>,</w:t>
      </w:r>
      <w:r w:rsidR="00675857">
        <w:t xml:space="preserve"> education providers</w:t>
      </w:r>
      <w:r w:rsidR="003662AD">
        <w:t>, and other stakeholders:</w:t>
      </w:r>
    </w:p>
    <w:p w14:paraId="0B19979C" w14:textId="762B3537" w:rsidR="00AF043D" w:rsidRDefault="00CC01C9" w:rsidP="003F504B">
      <w:pPr>
        <w:pStyle w:val="ListParagraph"/>
        <w:numPr>
          <w:ilvl w:val="0"/>
          <w:numId w:val="1"/>
        </w:numPr>
        <w:spacing w:after="160" w:line="312" w:lineRule="auto"/>
        <w:ind w:left="714" w:hanging="357"/>
        <w:contextualSpacing w:val="0"/>
        <w:jc w:val="both"/>
      </w:pPr>
      <w:r>
        <w:t>Adoption of</w:t>
      </w:r>
      <w:r w:rsidR="00675857">
        <w:t xml:space="preserve"> </w:t>
      </w:r>
      <w:r w:rsidR="004B05D9">
        <w:t xml:space="preserve">the twin-track approach to inclusive education, as recognised in the UN Convention on the Rights of Persons with Disabilities. This approach requires adoption of </w:t>
      </w:r>
      <w:r w:rsidR="00675857">
        <w:t>education</w:t>
      </w:r>
      <w:r w:rsidR="004B05D9">
        <w:t xml:space="preserve"> policies,</w:t>
      </w:r>
      <w:r w:rsidR="00AF043D">
        <w:t xml:space="preserve"> </w:t>
      </w:r>
      <w:r w:rsidR="003537CB">
        <w:rPr>
          <w:rFonts w:cs="Arial"/>
          <w:color w:val="222222"/>
          <w:shd w:val="clear" w:color="auto" w:fill="FFFFFF"/>
        </w:rPr>
        <w:t xml:space="preserve">legislations and laws, </w:t>
      </w:r>
      <w:r w:rsidR="00AF043D">
        <w:t xml:space="preserve">regulations </w:t>
      </w:r>
      <w:r w:rsidR="004B05D9">
        <w:t xml:space="preserve">and system-wide changes that enable </w:t>
      </w:r>
      <w:r w:rsidR="005F0AA2">
        <w:t xml:space="preserve">all children to be included in </w:t>
      </w:r>
      <w:r w:rsidR="00675857">
        <w:t>mainstream school</w:t>
      </w:r>
      <w:r w:rsidR="005F0AA2">
        <w:t>s and classrooms (track 1), and</w:t>
      </w:r>
      <w:r w:rsidR="00675857">
        <w:t xml:space="preserve"> implementation of</w:t>
      </w:r>
      <w:r w:rsidR="00AF043D">
        <w:t xml:space="preserve"> </w:t>
      </w:r>
      <w:r w:rsidR="005F0AA2">
        <w:t xml:space="preserve">adjustments and modifications to the </w:t>
      </w:r>
      <w:r>
        <w:t>curriculum</w:t>
      </w:r>
      <w:r w:rsidR="00675857">
        <w:t>,</w:t>
      </w:r>
      <w:r>
        <w:t xml:space="preserve"> instruction</w:t>
      </w:r>
      <w:r w:rsidR="00675857">
        <w:t xml:space="preserve"> </w:t>
      </w:r>
      <w:r w:rsidR="005F0AA2">
        <w:t xml:space="preserve">approaches </w:t>
      </w:r>
      <w:r w:rsidR="00675857">
        <w:t>and</w:t>
      </w:r>
      <w:r>
        <w:t xml:space="preserve"> resourc</w:t>
      </w:r>
      <w:r w:rsidR="005F0AA2">
        <w:t>ing to meet the assessed requirements of</w:t>
      </w:r>
      <w:r w:rsidR="00675857">
        <w:t xml:space="preserve"> </w:t>
      </w:r>
      <w:r w:rsidR="005F0AA2">
        <w:t xml:space="preserve">individual </w:t>
      </w:r>
      <w:r w:rsidR="00675857">
        <w:t>children with visual impairment</w:t>
      </w:r>
      <w:r>
        <w:t>.</w:t>
      </w:r>
    </w:p>
    <w:p w14:paraId="447A3A64" w14:textId="380E9AAB" w:rsidR="00CC01C9" w:rsidRDefault="00CC01C9" w:rsidP="003F504B">
      <w:pPr>
        <w:pStyle w:val="ListParagraph"/>
        <w:numPr>
          <w:ilvl w:val="0"/>
          <w:numId w:val="1"/>
        </w:numPr>
        <w:spacing w:after="160" w:line="312" w:lineRule="auto"/>
        <w:ind w:left="714" w:hanging="357"/>
        <w:contextualSpacing w:val="0"/>
        <w:jc w:val="both"/>
      </w:pPr>
      <w:r>
        <w:t xml:space="preserve">Provision of </w:t>
      </w:r>
      <w:r w:rsidR="00675857">
        <w:t xml:space="preserve">child and family-centred </w:t>
      </w:r>
      <w:r w:rsidR="003537CB">
        <w:rPr>
          <w:rFonts w:cs="Arial"/>
          <w:color w:val="222222"/>
          <w:shd w:val="clear" w:color="auto" w:fill="FFFFFF"/>
        </w:rPr>
        <w:t xml:space="preserve">early identification, </w:t>
      </w:r>
      <w:r>
        <w:t xml:space="preserve">early intervention and early education programs for young children with visual impairment, commencing at </w:t>
      </w:r>
      <w:r w:rsidR="00675857">
        <w:t xml:space="preserve">birth or </w:t>
      </w:r>
      <w:r w:rsidR="005F0AA2">
        <w:t xml:space="preserve">at </w:t>
      </w:r>
      <w:r>
        <w:t xml:space="preserve">diagnosis of visual impairment. </w:t>
      </w:r>
    </w:p>
    <w:p w14:paraId="48F40871" w14:textId="6939A5B7" w:rsidR="00CC01C9" w:rsidRDefault="00CC01C9" w:rsidP="003F504B">
      <w:pPr>
        <w:pStyle w:val="ListParagraph"/>
        <w:numPr>
          <w:ilvl w:val="0"/>
          <w:numId w:val="1"/>
        </w:numPr>
        <w:spacing w:after="160" w:line="312" w:lineRule="auto"/>
        <w:ind w:left="714" w:hanging="357"/>
        <w:contextualSpacing w:val="0"/>
        <w:jc w:val="both"/>
      </w:pPr>
      <w:r>
        <w:t>Recruitment, training</w:t>
      </w:r>
      <w:r w:rsidR="00675857">
        <w:t>,</w:t>
      </w:r>
      <w:r>
        <w:t xml:space="preserve"> and retention of teachers</w:t>
      </w:r>
      <w:r w:rsidR="005F0AA2">
        <w:t xml:space="preserve"> who demonstrate knowledge of the physical, social and cognitive implications of visual impairment, and who possess </w:t>
      </w:r>
      <w:r>
        <w:t>qualifications in braille literacy, assistive technology, orientation and mobility, and life and social skill</w:t>
      </w:r>
      <w:r w:rsidR="00675857">
        <w:t xml:space="preserve"> development</w:t>
      </w:r>
      <w:r w:rsidR="005F0AA2">
        <w:t>.</w:t>
      </w:r>
    </w:p>
    <w:p w14:paraId="3AD4C33C" w14:textId="6C312755" w:rsidR="00CC01C9" w:rsidRDefault="005F0AA2" w:rsidP="003F504B">
      <w:pPr>
        <w:pStyle w:val="ListParagraph"/>
        <w:numPr>
          <w:ilvl w:val="0"/>
          <w:numId w:val="1"/>
        </w:numPr>
        <w:spacing w:after="160" w:line="312" w:lineRule="auto"/>
        <w:ind w:left="714" w:hanging="357"/>
        <w:contextualSpacing w:val="0"/>
        <w:jc w:val="both"/>
      </w:pPr>
      <w:r>
        <w:lastRenderedPageBreak/>
        <w:t>P</w:t>
      </w:r>
      <w:r w:rsidR="00CC01C9">
        <w:t xml:space="preserve">rovision of </w:t>
      </w:r>
      <w:r>
        <w:t xml:space="preserve">reading and writing technology, and timely access to </w:t>
      </w:r>
      <w:r w:rsidR="00CC01C9">
        <w:t>books</w:t>
      </w:r>
      <w:r>
        <w:t xml:space="preserve"> and</w:t>
      </w:r>
      <w:r w:rsidR="00CC01C9">
        <w:t xml:space="preserve"> educational resources in each child’s required format (braille, large print, </w:t>
      </w:r>
      <w:proofErr w:type="gramStart"/>
      <w:r w:rsidR="00CC01C9">
        <w:t>digital</w:t>
      </w:r>
      <w:proofErr w:type="gramEnd"/>
      <w:r w:rsidR="00CC01C9">
        <w:t>, audio).</w:t>
      </w:r>
    </w:p>
    <w:p w14:paraId="6C55D971" w14:textId="05B1C4C9" w:rsidR="00675857" w:rsidRDefault="005F0AA2" w:rsidP="003F504B">
      <w:pPr>
        <w:pStyle w:val="ListParagraph"/>
        <w:numPr>
          <w:ilvl w:val="0"/>
          <w:numId w:val="1"/>
        </w:numPr>
        <w:spacing w:after="160" w:line="312" w:lineRule="auto"/>
        <w:ind w:left="714" w:hanging="357"/>
        <w:contextualSpacing w:val="0"/>
        <w:jc w:val="both"/>
      </w:pPr>
      <w:r>
        <w:t>National r</w:t>
      </w:r>
      <w:r w:rsidR="00675857">
        <w:t>atification of the Marrakesh VIP Treaty and enactment of exceptions to copyright protections to permit the production and exchange of “born accessible” books within and across national borders.</w:t>
      </w:r>
    </w:p>
    <w:p w14:paraId="23505256" w14:textId="25057C0C" w:rsidR="003537CB" w:rsidRDefault="003537CB" w:rsidP="003F504B">
      <w:pPr>
        <w:pStyle w:val="ListParagraph"/>
        <w:numPr>
          <w:ilvl w:val="0"/>
          <w:numId w:val="1"/>
        </w:numPr>
        <w:spacing w:after="160" w:line="312" w:lineRule="auto"/>
        <w:ind w:left="714" w:hanging="357"/>
        <w:contextualSpacing w:val="0"/>
        <w:jc w:val="both"/>
      </w:pPr>
      <w:r>
        <w:rPr>
          <w:rFonts w:cs="Arial"/>
          <w:color w:val="222222"/>
          <w:shd w:val="clear" w:color="auto" w:fill="FFFFFF"/>
        </w:rPr>
        <w:t>Make technology, technical devices and new teaching methodologies appropriate, affordable, available and accessible</w:t>
      </w:r>
      <w:r w:rsidR="003F504B">
        <w:rPr>
          <w:rFonts w:cs="Arial"/>
          <w:color w:val="222222"/>
          <w:shd w:val="clear" w:color="auto" w:fill="FFFFFF"/>
          <w:lang w:val="en-US"/>
        </w:rPr>
        <w:t>.</w:t>
      </w:r>
    </w:p>
    <w:p w14:paraId="2A6FBA32" w14:textId="34BECCCF" w:rsidR="00CC01C9" w:rsidRDefault="00ED38CB" w:rsidP="003F504B">
      <w:pPr>
        <w:spacing w:after="200" w:line="312" w:lineRule="auto"/>
        <w:jc w:val="both"/>
      </w:pPr>
      <w:r>
        <w:t xml:space="preserve">Together, we must advocate and demonstrate the benefits of early childhood and school education for children and young people with visual impairment, their families, local communities and broader societies. </w:t>
      </w:r>
    </w:p>
    <w:p w14:paraId="5033BF9E" w14:textId="77777777" w:rsidR="00CC01C9" w:rsidRDefault="00CC01C9" w:rsidP="003537CB">
      <w:pPr>
        <w:spacing w:after="200"/>
        <w:jc w:val="both"/>
      </w:pPr>
    </w:p>
    <w:p w14:paraId="5EE57420" w14:textId="77777777" w:rsidR="006C79C6" w:rsidRPr="003C2DC7" w:rsidRDefault="006C79C6" w:rsidP="003537CB">
      <w:pPr>
        <w:spacing w:after="200"/>
        <w:jc w:val="both"/>
        <w:rPr>
          <w:lang w:val="en-US"/>
        </w:rPr>
      </w:pPr>
    </w:p>
    <w:sectPr w:rsidR="006C79C6" w:rsidRPr="003C2DC7" w:rsidSect="003C2DC7">
      <w:foot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E86F" w14:textId="77777777" w:rsidR="00FF490E" w:rsidRDefault="00FF490E" w:rsidP="003C2DC7">
      <w:pPr>
        <w:spacing w:after="0" w:line="240" w:lineRule="auto"/>
      </w:pPr>
      <w:r>
        <w:separator/>
      </w:r>
    </w:p>
  </w:endnote>
  <w:endnote w:type="continuationSeparator" w:id="0">
    <w:p w14:paraId="1FCAD17A" w14:textId="77777777" w:rsidR="00FF490E" w:rsidRDefault="00FF490E" w:rsidP="003C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9E47" w14:textId="168841DB" w:rsidR="003C2DC7" w:rsidRPr="00EA35AB" w:rsidRDefault="003C2DC7" w:rsidP="003C2DC7">
    <w:pPr>
      <w:pStyle w:val="Footer"/>
      <w:spacing w:line="288" w:lineRule="auto"/>
      <w:rPr>
        <w:b/>
        <w:noProof/>
        <w:color w:val="1F6334"/>
        <w:sz w:val="18"/>
        <w:szCs w:val="18"/>
        <w:lang w:val="en-US"/>
      </w:rPr>
    </w:pPr>
    <w:r w:rsidRPr="00EA35AB">
      <w:rPr>
        <w:b/>
        <w:noProof/>
        <w:color w:val="1F6334"/>
        <w:sz w:val="20"/>
        <w:szCs w:val="18"/>
        <w:lang w:val="en-IN" w:eastAsia="en-IN"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36A5C" wp14:editId="6B34501E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6553200" cy="0"/>
              <wp:effectExtent l="9525" t="12700" r="9525" b="63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5pt" to="516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F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Np0+gc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"/>
          </w:pict>
        </mc:Fallback>
      </mc:AlternateContent>
    </w:r>
    <w:r w:rsidRPr="00EA35AB">
      <w:rPr>
        <w:b/>
        <w:noProof/>
        <w:color w:val="1F6334"/>
        <w:sz w:val="20"/>
        <w:szCs w:val="18"/>
        <w:lang w:val="en-US"/>
      </w:rPr>
      <w:t>International Council for Education of People with Visual Impairment</w:t>
    </w:r>
  </w:p>
  <w:p w14:paraId="7A34B94B" w14:textId="337C43E0" w:rsidR="003C2DC7" w:rsidRPr="00470F38" w:rsidRDefault="003C2DC7" w:rsidP="003C2DC7">
    <w:pPr>
      <w:tabs>
        <w:tab w:val="center" w:pos="1560"/>
        <w:tab w:val="center" w:pos="2835"/>
        <w:tab w:val="center" w:pos="5124"/>
        <w:tab w:val="center" w:pos="6804"/>
        <w:tab w:val="center" w:pos="8647"/>
      </w:tabs>
      <w:spacing w:after="0"/>
      <w:rPr>
        <w:sz w:val="18"/>
        <w:szCs w:val="18"/>
      </w:rPr>
    </w:pPr>
    <w:r w:rsidRPr="00470F38">
      <w:rPr>
        <w:b/>
        <w:sz w:val="18"/>
        <w:szCs w:val="18"/>
      </w:rPr>
      <w:t xml:space="preserve">President: </w:t>
    </w:r>
    <w:r w:rsidRPr="00470F38">
      <w:rPr>
        <w:sz w:val="18"/>
        <w:szCs w:val="18"/>
      </w:rPr>
      <w:t>Dr Frances Gentle</w:t>
    </w:r>
    <w:r>
      <w:rPr>
        <w:sz w:val="18"/>
        <w:szCs w:val="18"/>
      </w:rPr>
      <w:tab/>
      <w:t xml:space="preserve">            </w:t>
    </w:r>
    <w:r w:rsidRPr="00470F38">
      <w:rPr>
        <w:b/>
        <w:sz w:val="18"/>
        <w:szCs w:val="18"/>
      </w:rPr>
      <w:t>Chief Executive Office</w:t>
    </w:r>
    <w:r>
      <w:rPr>
        <w:b/>
        <w:sz w:val="18"/>
        <w:szCs w:val="18"/>
      </w:rPr>
      <w:t>r</w:t>
    </w:r>
    <w:r w:rsidRPr="00470F38">
      <w:rPr>
        <w:b/>
        <w:sz w:val="18"/>
        <w:szCs w:val="18"/>
      </w:rPr>
      <w:t xml:space="preserve">: </w:t>
    </w:r>
    <w:r w:rsidRPr="00470F38">
      <w:rPr>
        <w:sz w:val="18"/>
        <w:szCs w:val="18"/>
      </w:rPr>
      <w:t>Dr M.N.G. Mani</w:t>
    </w:r>
  </w:p>
  <w:p w14:paraId="4144AC1C" w14:textId="7AA2E7BF" w:rsidR="003C2DC7" w:rsidRDefault="003C2DC7" w:rsidP="003C2DC7">
    <w:pPr>
      <w:tabs>
        <w:tab w:val="right" w:pos="9026"/>
      </w:tabs>
      <w:spacing w:after="0"/>
      <w:rPr>
        <w:sz w:val="18"/>
        <w:szCs w:val="18"/>
      </w:rPr>
    </w:pPr>
    <w:r w:rsidRPr="00470F38">
      <w:rPr>
        <w:b/>
        <w:sz w:val="18"/>
        <w:szCs w:val="18"/>
      </w:rPr>
      <w:t>Contact Address:</w:t>
    </w:r>
    <w:r w:rsidRPr="00470F38">
      <w:rPr>
        <w:sz w:val="18"/>
        <w:szCs w:val="18"/>
      </w:rPr>
      <w:t xml:space="preserve"> </w:t>
    </w:r>
    <w:r>
      <w:rPr>
        <w:sz w:val="18"/>
        <w:szCs w:val="18"/>
      </w:rPr>
      <w:tab/>
    </w:r>
  </w:p>
  <w:p w14:paraId="73E02CEB" w14:textId="2EA492DD" w:rsidR="003C2DC7" w:rsidRPr="00470F38" w:rsidRDefault="003C2DC7" w:rsidP="003C2DC7">
    <w:pPr>
      <w:spacing w:after="0"/>
      <w:rPr>
        <w:sz w:val="18"/>
        <w:szCs w:val="18"/>
      </w:rPr>
    </w:pPr>
    <w:r w:rsidRPr="00470F38">
      <w:rPr>
        <w:sz w:val="18"/>
        <w:szCs w:val="18"/>
      </w:rPr>
      <w:t xml:space="preserve">No. 3, Professors’ Colony, Sri Ramakrishna </w:t>
    </w:r>
    <w:proofErr w:type="spellStart"/>
    <w:r w:rsidRPr="00470F38">
      <w:rPr>
        <w:sz w:val="18"/>
        <w:szCs w:val="18"/>
      </w:rPr>
      <w:t>Vidyalaya</w:t>
    </w:r>
    <w:proofErr w:type="spellEnd"/>
    <w:r w:rsidRPr="00470F38">
      <w:rPr>
        <w:sz w:val="18"/>
        <w:szCs w:val="18"/>
      </w:rPr>
      <w:t xml:space="preserve"> Post</w:t>
    </w:r>
    <w:r>
      <w:rPr>
        <w:sz w:val="18"/>
        <w:szCs w:val="18"/>
      </w:rPr>
      <w:t xml:space="preserve">, </w:t>
    </w:r>
    <w:r w:rsidRPr="00470F38">
      <w:rPr>
        <w:sz w:val="18"/>
        <w:szCs w:val="18"/>
      </w:rPr>
      <w:t xml:space="preserve">Coimbatore 641 </w:t>
    </w:r>
    <w:r>
      <w:rPr>
        <w:sz w:val="18"/>
        <w:szCs w:val="18"/>
      </w:rPr>
      <w:t xml:space="preserve">020, </w:t>
    </w:r>
    <w:r w:rsidRPr="00470F38">
      <w:rPr>
        <w:sz w:val="18"/>
        <w:szCs w:val="18"/>
      </w:rPr>
      <w:t>Tamil Nadu, INDIA</w:t>
    </w:r>
  </w:p>
  <w:p w14:paraId="2D250A27" w14:textId="20882257" w:rsidR="003C2DC7" w:rsidRPr="003C2DC7" w:rsidRDefault="003C2DC7" w:rsidP="003C2DC7">
    <w:pPr>
      <w:spacing w:after="0"/>
      <w:rPr>
        <w:sz w:val="18"/>
        <w:szCs w:val="18"/>
      </w:rPr>
    </w:pPr>
    <w:r w:rsidRPr="00470F38">
      <w:rPr>
        <w:sz w:val="18"/>
        <w:szCs w:val="18"/>
      </w:rPr>
      <w:t xml:space="preserve">Email: </w:t>
    </w:r>
    <w:hyperlink r:id="rId1" w:history="1">
      <w:r w:rsidRPr="00470F38">
        <w:rPr>
          <w:rStyle w:val="Hyperlink"/>
          <w:sz w:val="18"/>
          <w:szCs w:val="18"/>
        </w:rPr>
        <w:t>ceo201922@gmail.com</w:t>
      </w:r>
    </w:hyperlink>
    <w:r w:rsidRPr="00470F38">
      <w:rPr>
        <w:sz w:val="18"/>
        <w:szCs w:val="18"/>
      </w:rPr>
      <w:t xml:space="preserve">; Website: </w:t>
    </w:r>
    <w:hyperlink r:id="rId2" w:history="1">
      <w:r w:rsidRPr="00470F38">
        <w:rPr>
          <w:rStyle w:val="Hyperlink"/>
          <w:sz w:val="18"/>
          <w:szCs w:val="18"/>
        </w:rPr>
        <w:t>https://icevi.org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0D78" w14:textId="77777777" w:rsidR="00FF490E" w:rsidRDefault="00FF490E" w:rsidP="003C2DC7">
      <w:pPr>
        <w:spacing w:after="0" w:line="240" w:lineRule="auto"/>
      </w:pPr>
      <w:r>
        <w:separator/>
      </w:r>
    </w:p>
  </w:footnote>
  <w:footnote w:type="continuationSeparator" w:id="0">
    <w:p w14:paraId="1338AEE6" w14:textId="77777777" w:rsidR="00FF490E" w:rsidRDefault="00FF490E" w:rsidP="003C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47F43" w14:textId="471E8427" w:rsidR="003C2DC7" w:rsidRDefault="00EA35AB" w:rsidP="003C2DC7">
    <w:pPr>
      <w:spacing w:after="200"/>
      <w:jc w:val="center"/>
      <w:rPr>
        <w:b/>
        <w:sz w:val="28"/>
        <w:lang w:val="en-US"/>
      </w:rPr>
    </w:pPr>
    <w:r>
      <w:rPr>
        <w:b/>
        <w:noProof/>
        <w:sz w:val="28"/>
        <w:lang w:val="en-IN" w:eastAsia="en-IN" w:bidi="ta-IN"/>
      </w:rPr>
      <w:drawing>
        <wp:anchor distT="0" distB="0" distL="114300" distR="114300" simplePos="0" relativeHeight="251661312" behindDoc="0" locked="0" layoutInCell="1" allowOverlap="1" wp14:anchorId="59C61721" wp14:editId="2402E232">
          <wp:simplePos x="0" y="0"/>
          <wp:positionH relativeFrom="column">
            <wp:posOffset>29845</wp:posOffset>
          </wp:positionH>
          <wp:positionV relativeFrom="paragraph">
            <wp:posOffset>81915</wp:posOffset>
          </wp:positionV>
          <wp:extent cx="1600200" cy="659765"/>
          <wp:effectExtent l="0" t="0" r="0" b="6985"/>
          <wp:wrapNone/>
          <wp:docPr id="1" name="Picture 1" descr="icevi-logo-gif-cl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evi-logo-gif-cl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DC7" w:rsidRPr="003C2DC7">
      <w:rPr>
        <w:b/>
        <w:noProof/>
        <w:sz w:val="32"/>
        <w:lang w:val="en-IN" w:eastAsia="en-IN" w:bidi="ta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EBD89" wp14:editId="78C09D63">
              <wp:simplePos x="0" y="0"/>
              <wp:positionH relativeFrom="column">
                <wp:posOffset>1809750</wp:posOffset>
              </wp:positionH>
              <wp:positionV relativeFrom="paragraph">
                <wp:posOffset>140335</wp:posOffset>
              </wp:positionV>
              <wp:extent cx="4019550" cy="600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3118C" w14:textId="23E089B9" w:rsidR="003C2DC7" w:rsidRPr="003F504B" w:rsidRDefault="003C2DC7" w:rsidP="003C2DC7">
                          <w:pPr>
                            <w:pStyle w:val="Header"/>
                            <w:spacing w:line="264" w:lineRule="auto"/>
                            <w:jc w:val="center"/>
                            <w:rPr>
                              <w:rFonts w:ascii="Verdana" w:hAnsi="Verdana"/>
                              <w:iCs/>
                              <w:color w:val="14620E"/>
                              <w:sz w:val="28"/>
                              <w:szCs w:val="24"/>
                            </w:rPr>
                          </w:pPr>
                          <w:r w:rsidRPr="003F504B">
                            <w:rPr>
                              <w:rFonts w:ascii="Verdana" w:hAnsi="Verdana"/>
                              <w:iCs/>
                              <w:color w:val="14620E"/>
                              <w:sz w:val="28"/>
                              <w:szCs w:val="24"/>
                            </w:rPr>
                            <w:t>International Council for Education of</w:t>
                          </w:r>
                        </w:p>
                        <w:p w14:paraId="385C513B" w14:textId="7109E69A" w:rsidR="003C2DC7" w:rsidRDefault="003C2DC7" w:rsidP="003C2DC7">
                          <w:r>
                            <w:rPr>
                              <w:rFonts w:ascii="Verdana" w:hAnsi="Verdana"/>
                              <w:b/>
                              <w:iCs/>
                              <w:color w:val="14620E"/>
                              <w:sz w:val="28"/>
                              <w:szCs w:val="24"/>
                            </w:rPr>
                            <w:t>People with Visual Impairment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2.5pt;margin-top:11.05pt;width:316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" filled="f" stroked="f">
              <v:textbox>
                <w:txbxContent>
                  <w:p w14:paraId="54C3118C" w14:textId="23E089B9" w:rsidR="003C2DC7" w:rsidRPr="003F504B" w:rsidRDefault="003C2DC7" w:rsidP="003C2DC7">
                    <w:pPr>
                      <w:pStyle w:val="Header"/>
                      <w:spacing w:line="264" w:lineRule="auto"/>
                      <w:jc w:val="center"/>
                      <w:rPr>
                        <w:rFonts w:ascii="Verdana" w:hAnsi="Verdana"/>
                        <w:iCs/>
                        <w:color w:val="14620E"/>
                        <w:sz w:val="28"/>
                        <w:szCs w:val="24"/>
                      </w:rPr>
                    </w:pPr>
                    <w:r w:rsidRPr="003F504B">
                      <w:rPr>
                        <w:rFonts w:ascii="Verdana" w:hAnsi="Verdana"/>
                        <w:iCs/>
                        <w:color w:val="14620E"/>
                        <w:sz w:val="28"/>
                        <w:szCs w:val="24"/>
                      </w:rPr>
                      <w:t>International Council for Education of</w:t>
                    </w:r>
                  </w:p>
                  <w:p w14:paraId="385C513B" w14:textId="7109E69A" w:rsidR="003C2DC7" w:rsidRDefault="003C2DC7" w:rsidP="003C2DC7">
                    <w:r>
                      <w:rPr>
                        <w:rFonts w:ascii="Verdana" w:hAnsi="Verdana"/>
                        <w:b/>
                        <w:iCs/>
                        <w:color w:val="14620E"/>
                        <w:sz w:val="28"/>
                        <w:szCs w:val="24"/>
                      </w:rPr>
                      <w:t>People with Visual Impairment</w:t>
                    </w:r>
                  </w:p>
                </w:txbxContent>
              </v:textbox>
            </v:shape>
          </w:pict>
        </mc:Fallback>
      </mc:AlternateContent>
    </w:r>
  </w:p>
  <w:p w14:paraId="687D605B" w14:textId="4519D927" w:rsidR="003C2DC7" w:rsidRPr="003C2DC7" w:rsidRDefault="003C2DC7" w:rsidP="003C2DC7">
    <w:pPr>
      <w:spacing w:after="360"/>
      <w:jc w:val="center"/>
      <w:rPr>
        <w:b/>
        <w:sz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31"/>
    <w:multiLevelType w:val="hybridMultilevel"/>
    <w:tmpl w:val="2026A4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5"/>
    <w:rsid w:val="000C5FAD"/>
    <w:rsid w:val="003537CB"/>
    <w:rsid w:val="003662AD"/>
    <w:rsid w:val="003B077F"/>
    <w:rsid w:val="003C2DC7"/>
    <w:rsid w:val="003F504B"/>
    <w:rsid w:val="004B05D9"/>
    <w:rsid w:val="005F0AA2"/>
    <w:rsid w:val="006047B5"/>
    <w:rsid w:val="006735F1"/>
    <w:rsid w:val="00675857"/>
    <w:rsid w:val="006C79C6"/>
    <w:rsid w:val="007E006F"/>
    <w:rsid w:val="009F7775"/>
    <w:rsid w:val="00AF043D"/>
    <w:rsid w:val="00CC01C9"/>
    <w:rsid w:val="00D76CD5"/>
    <w:rsid w:val="00EA35AB"/>
    <w:rsid w:val="00ED38CB"/>
    <w:rsid w:val="00F861E7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C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75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7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2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0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3F504B"/>
    <w:pPr>
      <w:tabs>
        <w:tab w:val="center" w:pos="4320"/>
        <w:tab w:val="right" w:pos="8640"/>
      </w:tabs>
      <w:spacing w:after="0" w:line="240" w:lineRule="auto"/>
    </w:pPr>
    <w:rPr>
      <w:rFonts w:eastAsia="Times New Roman" w:cs="Arial"/>
      <w:b/>
      <w:sz w:val="32"/>
      <w:szCs w:val="32"/>
      <w:lang w:val="en-GB"/>
      <w14:ligatures w14:val="none"/>
    </w:rPr>
  </w:style>
  <w:style w:type="character" w:customStyle="1" w:styleId="HeaderChar">
    <w:name w:val="Header Char"/>
    <w:basedOn w:val="DefaultParagraphFont"/>
    <w:link w:val="Header"/>
    <w:rsid w:val="003F504B"/>
    <w:rPr>
      <w:rFonts w:ascii="Arial" w:eastAsia="Times New Roman" w:hAnsi="Arial" w:cs="Arial"/>
      <w:b/>
      <w:sz w:val="32"/>
      <w:szCs w:val="3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C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C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75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7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2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0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3F504B"/>
    <w:pPr>
      <w:tabs>
        <w:tab w:val="center" w:pos="4320"/>
        <w:tab w:val="right" w:pos="8640"/>
      </w:tabs>
      <w:spacing w:after="0" w:line="240" w:lineRule="auto"/>
    </w:pPr>
    <w:rPr>
      <w:rFonts w:eastAsia="Times New Roman" w:cs="Arial"/>
      <w:b/>
      <w:sz w:val="32"/>
      <w:szCs w:val="32"/>
      <w:lang w:val="en-GB"/>
      <w14:ligatures w14:val="none"/>
    </w:rPr>
  </w:style>
  <w:style w:type="character" w:customStyle="1" w:styleId="HeaderChar">
    <w:name w:val="Header Char"/>
    <w:basedOn w:val="DefaultParagraphFont"/>
    <w:link w:val="Header"/>
    <w:rsid w:val="003F504B"/>
    <w:rPr>
      <w:rFonts w:ascii="Arial" w:eastAsia="Times New Roman" w:hAnsi="Arial" w:cs="Arial"/>
      <w:b/>
      <w:sz w:val="32"/>
      <w:szCs w:val="3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C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C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desa.un.org/sdn/global-good-practices-un-disability-and-development-report-2023-and-the-zero-proje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cevi.org" TargetMode="External"/><Relationship Id="rId1" Type="http://schemas.openxmlformats.org/officeDocument/2006/relationships/hyperlink" Target="mailto:ceo2019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Gentle</dc:creator>
  <cp:lastModifiedBy>User</cp:lastModifiedBy>
  <cp:revision>2</cp:revision>
  <cp:lastPrinted>2023-11-29T04:32:00Z</cp:lastPrinted>
  <dcterms:created xsi:type="dcterms:W3CDTF">2023-12-03T09:25:00Z</dcterms:created>
  <dcterms:modified xsi:type="dcterms:W3CDTF">2023-12-03T09:25:00Z</dcterms:modified>
</cp:coreProperties>
</file>