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9A" w:rsidRPr="00F3229A" w:rsidRDefault="00F3229A" w:rsidP="000552D2">
      <w:pPr>
        <w:spacing w:after="0" w:line="240" w:lineRule="auto"/>
        <w:ind w:right="1950"/>
        <w:jc w:val="both"/>
        <w:rPr>
          <w:rFonts w:asciiTheme="majorHAnsi" w:eastAsia="Times New Roman" w:hAnsiTheme="majorHAnsi" w:cstheme="majorHAnsi"/>
          <w:color w:val="8F1F76"/>
          <w:sz w:val="56"/>
          <w:szCs w:val="56"/>
          <w:lang w:val="fr-FR"/>
        </w:rPr>
      </w:pPr>
      <w:r w:rsidRPr="00F3229A">
        <w:rPr>
          <w:rFonts w:ascii="Avenir LT Std 45 Book" w:eastAsia="Times New Roman" w:hAnsi="Avenir LT Std 45 Book" w:cs="Times New Roman"/>
          <w:b/>
          <w:bCs/>
          <w:color w:val="8F1F76"/>
          <w:sz w:val="56"/>
          <w:szCs w:val="56"/>
          <w:lang w:val="fr-FR"/>
        </w:rPr>
        <w:t>World Blindness Summit:</w:t>
      </w:r>
    </w:p>
    <w:p w:rsidR="00F3229A" w:rsidRPr="00F3229A" w:rsidRDefault="00F3229A" w:rsidP="000552D2">
      <w:pPr>
        <w:spacing w:after="0" w:line="240" w:lineRule="auto"/>
        <w:ind w:right="1950"/>
        <w:jc w:val="both"/>
        <w:rPr>
          <w:rFonts w:asciiTheme="majorHAnsi" w:eastAsia="Times New Roman" w:hAnsiTheme="majorHAnsi" w:cstheme="majorHAnsi"/>
          <w:color w:val="C00354"/>
          <w:sz w:val="56"/>
          <w:szCs w:val="56"/>
          <w:lang w:val="fr-FR"/>
        </w:rPr>
      </w:pPr>
      <w:r w:rsidRPr="000552D2">
        <w:rPr>
          <w:rFonts w:asciiTheme="majorHAnsi" w:eastAsia="Times New Roman" w:hAnsiTheme="majorHAnsi" w:cstheme="majorHAnsi"/>
          <w:b/>
          <w:bCs/>
          <w:color w:val="C00354"/>
          <w:sz w:val="56"/>
          <w:szCs w:val="56"/>
          <w:lang w:val="fr-FR"/>
        </w:rPr>
        <w:t>Ce que signifie être aveugle et malvoyant</w:t>
      </w:r>
    </w:p>
    <w:p w:rsidR="00F3229A" w:rsidRPr="00F3229A" w:rsidRDefault="00F3229A" w:rsidP="000552D2">
      <w:pPr>
        <w:shd w:val="clear" w:color="auto" w:fill="8F1F76"/>
        <w:spacing w:line="240" w:lineRule="auto"/>
        <w:jc w:val="both"/>
        <w:rPr>
          <w:rFonts w:asciiTheme="majorHAnsi" w:eastAsia="Times New Roman" w:hAnsiTheme="majorHAnsi" w:cstheme="majorHAnsi"/>
          <w:color w:val="FFFFFF"/>
          <w:sz w:val="30"/>
          <w:szCs w:val="30"/>
          <w:lang w:val="fr-FR"/>
        </w:rPr>
      </w:pPr>
      <w:r w:rsidRPr="000552D2">
        <w:rPr>
          <w:rFonts w:asciiTheme="majorHAnsi" w:eastAsia="Times New Roman" w:hAnsiTheme="majorHAnsi" w:cstheme="majorHAnsi"/>
          <w:b/>
          <w:bCs/>
          <w:color w:val="FFFFFF"/>
          <w:sz w:val="30"/>
          <w:szCs w:val="30"/>
          <w:lang w:val="fr-FR"/>
        </w:rPr>
        <w:t>Hôte: ONCE, Espagne</w:t>
      </w:r>
      <w:bookmarkStart w:id="0" w:name="_GoBack"/>
      <w:bookmarkEnd w:id="0"/>
    </w:p>
    <w:p w:rsidR="00F3229A" w:rsidRPr="00F3229A" w:rsidRDefault="00F3229A" w:rsidP="000552D2">
      <w:pPr>
        <w:spacing w:before="100" w:beforeAutospacing="1" w:after="100" w:afterAutospacing="1" w:line="240" w:lineRule="auto"/>
        <w:jc w:val="both"/>
        <w:outlineLvl w:val="1"/>
        <w:rPr>
          <w:rFonts w:asciiTheme="majorHAnsi" w:eastAsia="Times New Roman" w:hAnsiTheme="majorHAnsi" w:cstheme="majorHAnsi"/>
          <w:b/>
          <w:bCs/>
          <w:caps/>
          <w:color w:val="4C555A"/>
          <w:sz w:val="56"/>
          <w:szCs w:val="56"/>
          <w:lang w:val="fr-FR"/>
        </w:rPr>
      </w:pPr>
      <w:r w:rsidRPr="000552D2">
        <w:rPr>
          <w:rFonts w:asciiTheme="majorHAnsi" w:eastAsia="Times New Roman" w:hAnsiTheme="majorHAnsi" w:cstheme="majorHAnsi"/>
          <w:b/>
          <w:bCs/>
          <w:caps/>
          <w:color w:val="4C555A"/>
          <w:sz w:val="56"/>
          <w:szCs w:val="56"/>
          <w:lang w:val="fr-FR"/>
        </w:rPr>
        <w:t>PROGRAMME OFFICIEL WBS’21</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La structure du programme au 15 avril 2021 est la suivante :</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horaires du programme sont indiqués en fonction de l’heure de Madrid (UTC/GMT+2)</w:t>
      </w:r>
      <w:r w:rsidRPr="000552D2">
        <w:rPr>
          <w:rFonts w:asciiTheme="majorHAnsi" w:eastAsia="Times New Roman" w:hAnsiTheme="majorHAnsi" w:cstheme="majorHAnsi"/>
          <w:color w:val="000000"/>
          <w:sz w:val="30"/>
          <w:szCs w:val="30"/>
          <w:lang w:val="fr-FR"/>
        </w:rPr>
        <w:t xml:space="preserve"> oui GMT</w:t>
      </w:r>
      <w:r w:rsidRPr="00F3229A">
        <w:rPr>
          <w:rFonts w:asciiTheme="majorHAnsi" w:eastAsia="Times New Roman" w:hAnsiTheme="majorHAnsi" w:cstheme="majorHAnsi"/>
          <w:color w:val="000000"/>
          <w:sz w:val="30"/>
          <w:szCs w:val="30"/>
          <w:lang w:val="fr-FR"/>
        </w:rPr>
        <w: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webinaires seront publiés sur les sites web du World Blindness Summit, de l'UMA et de l'ICEVI afin que vous puissiez les regarder en direct.</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fr-FR"/>
        </w:rPr>
      </w:pPr>
      <w:r w:rsidRPr="00F3229A">
        <w:rPr>
          <w:rFonts w:asciiTheme="majorHAnsi" w:eastAsia="Times New Roman" w:hAnsiTheme="majorHAnsi" w:cstheme="majorHAnsi"/>
          <w:b/>
          <w:bCs/>
          <w:color w:val="C00354"/>
          <w:sz w:val="56"/>
          <w:szCs w:val="56"/>
          <w:lang w:val="fr-FR"/>
        </w:rPr>
        <w:t>Jeudi 17 juin</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 xml:space="preserve">Réunion du Comité exécutif de l’UMA 13.00 – 16.00 Heure de Madrid </w:t>
      </w:r>
      <w:r w:rsidRPr="000552D2">
        <w:rPr>
          <w:rFonts w:asciiTheme="majorHAnsi" w:eastAsia="Times New Roman" w:hAnsiTheme="majorHAnsi" w:cstheme="majorHAnsi"/>
          <w:b/>
          <w:bCs/>
          <w:color w:val="8F1F76"/>
          <w:szCs w:val="24"/>
          <w:lang w:val="fr-FR"/>
        </w:rPr>
        <w:t>(HM)</w:t>
      </w:r>
      <w:r w:rsidRPr="00F3229A">
        <w:rPr>
          <w:rFonts w:asciiTheme="majorHAnsi" w:eastAsia="Times New Roman" w:hAnsiTheme="majorHAnsi" w:cstheme="majorHAnsi"/>
          <w:b/>
          <w:bCs/>
          <w:color w:val="8F1F76"/>
          <w:szCs w:val="24"/>
          <w:lang w:val="fr-FR"/>
        </w:rPr>
        <w:t xml:space="preserve"> 11.00-14.00 GMT</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fr-FR"/>
        </w:rPr>
      </w:pPr>
      <w:r w:rsidRPr="00F3229A">
        <w:rPr>
          <w:rFonts w:asciiTheme="majorHAnsi" w:eastAsia="Times New Roman" w:hAnsiTheme="majorHAnsi" w:cstheme="majorHAnsi"/>
          <w:b/>
          <w:bCs/>
          <w:color w:val="C00354"/>
          <w:sz w:val="56"/>
          <w:szCs w:val="56"/>
          <w:lang w:val="fr-FR"/>
        </w:rPr>
        <w:t>Semaine du 21 au 25 juin 2021 (UMA)</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Semaine de séances préliminaires et thèmes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Tous les délégués pourront débattre et traiter les sujets liés à la gestion interne de l’UMA comme : le rapport d'activités, les résolutions de l’UMA, les élections...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Il est important d’indiquer que, pour des questions de vote, tous les délégués devront participer à cette semaine, surtout lorsqu’il y aura des décisions à prendre.</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fr-FR"/>
        </w:rPr>
      </w:pPr>
      <w:r w:rsidRPr="00F3229A">
        <w:rPr>
          <w:rFonts w:asciiTheme="majorHAnsi" w:eastAsia="Times New Roman" w:hAnsiTheme="majorHAnsi" w:cstheme="majorHAnsi"/>
          <w:b/>
          <w:bCs/>
          <w:color w:val="C00354"/>
          <w:sz w:val="56"/>
          <w:szCs w:val="56"/>
          <w:lang w:val="fr-FR"/>
        </w:rPr>
        <w:t>Vendredi 25</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lastRenderedPageBreak/>
        <w:t>GTAC, Global Technology &amp; Accessibility Conference - 16:00 - 17:30 Heure de Madrid (HM) 14:00 - 15:30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Grand congrès mondial sur la technologie et l'accessibilité : Certains des spécialistes les plus importants en accessibilité et en technologie, venus des quatre coins du monde, ainsi que les entreprises principales, se donnent rendez-vous de façon physique et virtuelle pour discuter et apporter leurs différents points de vue sur l'avenir des personnes aveugles ou malvoyantes en matière d’électronique de consommation et d’innovation technique. Parmi les sujets traités se trouvent l'intelligence artificielle au service des personnes en situation de handicap, les nouvelles façon d’amortir la technologie de la part des personnes handicapées, les produits de pointe qui facilitent la vie de ces personnes ou les domaines des entreprises technologiques les plus importantes au monde spécialisées dans l'accessibilité et les politiques sociales et d’intégration totale ainsi que leurs stratégies les plus poussées et leur devenir dans un avenir proche.</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Documentaire sur la technologie et l'accessibilité dans la mobilité, les loisirs et la culture et dans la domotique et l’intelligence environnementale 1</w:t>
      </w:r>
      <w:r w:rsidRPr="000552D2">
        <w:rPr>
          <w:rFonts w:asciiTheme="majorHAnsi" w:eastAsia="Times New Roman" w:hAnsiTheme="majorHAnsi" w:cstheme="majorHAnsi"/>
          <w:b/>
          <w:bCs/>
          <w:color w:val="8F1F76"/>
          <w:szCs w:val="24"/>
          <w:lang w:val="fr-FR"/>
        </w:rPr>
        <w:t>2 h - 14 h (heure de Madrid – MH)</w:t>
      </w:r>
      <w:r w:rsidRPr="00F3229A">
        <w:rPr>
          <w:rFonts w:asciiTheme="majorHAnsi" w:eastAsia="Times New Roman" w:hAnsiTheme="majorHAnsi" w:cstheme="majorHAnsi"/>
          <w:b/>
          <w:bCs/>
          <w:color w:val="8F1F76"/>
          <w:szCs w:val="24"/>
          <w:lang w:val="fr-FR"/>
        </w:rPr>
        <w:t>10 h - 12 h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Mobilité</w:t>
      </w:r>
    </w:p>
    <w:p w:rsidR="00F3229A" w:rsidRPr="00F3229A" w:rsidRDefault="00F3229A" w:rsidP="000552D2">
      <w:pPr>
        <w:numPr>
          <w:ilvl w:val="0"/>
          <w:numId w:val="1"/>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Identifier les différents domaines dans lesquels la mobilité a un impact particulier pour les personnes malvoyantes. Difficultés pour se déplacer de façon indépendante à l'intérieur, à l'extérieur, dans les transports en commun.</w:t>
      </w:r>
    </w:p>
    <w:p w:rsidR="00F3229A" w:rsidRPr="00F3229A" w:rsidRDefault="00F3229A" w:rsidP="000552D2">
      <w:pPr>
        <w:numPr>
          <w:ilvl w:val="0"/>
          <w:numId w:val="1"/>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Exemple de la façon dont la technologie peut aider à réduire ou résoudre ces situations. La large gamme de solutions comme GPS pour applications spécifiques comme Moovit, Aroundme, identification de trajets...</w:t>
      </w:r>
    </w:p>
    <w:p w:rsidR="00F3229A" w:rsidRPr="00F3229A" w:rsidRDefault="00F3229A" w:rsidP="000552D2">
      <w:pPr>
        <w:numPr>
          <w:ilvl w:val="0"/>
          <w:numId w:val="1"/>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Différentes perspectives : fournisseurs de logiciel, programmeurs, fabricants, secteur publique, expériences des utilisateurs...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Loisirs et culture</w:t>
      </w:r>
    </w:p>
    <w:p w:rsidR="00F3229A" w:rsidRPr="00F3229A" w:rsidRDefault="00F3229A" w:rsidP="000552D2">
      <w:pPr>
        <w:numPr>
          <w:ilvl w:val="0"/>
          <w:numId w:val="2"/>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De nombreuses activités récréatives et de loisirs peuvent s'adapter aux personnes aveugles ou malvoyantes, ou au personnes âgées qui perdent la vue.</w:t>
      </w:r>
    </w:p>
    <w:p w:rsidR="00F3229A" w:rsidRPr="00F3229A" w:rsidRDefault="00F3229A" w:rsidP="000552D2">
      <w:pPr>
        <w:numPr>
          <w:ilvl w:val="0"/>
          <w:numId w:val="2"/>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Il existe de nombreuses activités récréatives, sociales et artisanales à prendre en compte pour les personnes aveugles et malvoyantes, comme des loisirs créatifs, des jeux de carte et de société, des activités culturelles, le jardinage, les jeux-vidéos, le sport, les spectacles...</w:t>
      </w:r>
    </w:p>
    <w:p w:rsidR="00F3229A" w:rsidRPr="00F3229A" w:rsidRDefault="00F3229A" w:rsidP="000552D2">
      <w:pPr>
        <w:numPr>
          <w:ilvl w:val="0"/>
          <w:numId w:val="2"/>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Il y a de nombreuses solutions pour avancer vers l'égalité des chances dans ce domaine. Les fabricants, les programmeurs, les agents sociaux... travaillent dans cette perspective.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Domotique et intelligence environnementale</w:t>
      </w:r>
    </w:p>
    <w:p w:rsidR="00F3229A" w:rsidRPr="00F3229A" w:rsidRDefault="00F3229A" w:rsidP="000552D2">
      <w:pPr>
        <w:numPr>
          <w:ilvl w:val="0"/>
          <w:numId w:val="3"/>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L'intelligence environnementale va marquer une nette rupture dans la façon dont nous vivons à la maison.</w:t>
      </w:r>
    </w:p>
    <w:p w:rsidR="00F3229A" w:rsidRPr="00F3229A" w:rsidRDefault="00F3229A" w:rsidP="000552D2">
      <w:pPr>
        <w:numPr>
          <w:ilvl w:val="0"/>
          <w:numId w:val="3"/>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fabricants et les programmeurs travaillent sur un modèle de foyer numérique, de façon dynamique et raisonnée, pour soutenir les personnes aveugles et malvoyantes dans leur quotidien à la maison en apportant l'assistance nécessaire par le moyen de la technologie axée sur l’être humain. De plus, l'intelligence environnementale trouvera son application dans différents domaines, y compris le commerce au détail, l’attention médicale, la fabrication, les villes intelligentes et bien plus.</w:t>
      </w:r>
    </w:p>
    <w:p w:rsidR="00F3229A" w:rsidRPr="00F3229A" w:rsidRDefault="00F3229A" w:rsidP="000552D2">
      <w:pPr>
        <w:numPr>
          <w:ilvl w:val="0"/>
          <w:numId w:val="3"/>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L'intelligence environnementale représente la vision future de l’informatique intelligente où les dispositifs d'entrée et de sortie ne sont plus nécessaires, mais où les capteurs et les processeurs s’intègrent dans les appareils quotidiens et où l’environnement s'adapte aux besoins et aux désirs de l'utilisateur sans obstacles. S’il est vrai que la promesse faite par l’intelligence environnementale est palpitante, il n'est pas moins vrai qu’elle soulève de nombreux défis.</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fr-FR"/>
        </w:rPr>
      </w:pPr>
      <w:r w:rsidRPr="00F3229A">
        <w:rPr>
          <w:rFonts w:asciiTheme="majorHAnsi" w:eastAsia="Times New Roman" w:hAnsiTheme="majorHAnsi" w:cstheme="majorHAnsi"/>
          <w:b/>
          <w:bCs/>
          <w:color w:val="C00354"/>
          <w:sz w:val="56"/>
          <w:szCs w:val="56"/>
          <w:lang w:val="fr-FR"/>
        </w:rPr>
        <w:t>Samedi 26</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16.00-18.00 Heure de Madrid (HM) 14.00-16.00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Rencontre mondiale de jeunes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Lors de cette réunion, les jeunes aveugles et malvoyants du monde entier auront l'occasion de partager leur vision, leurs idées communes et leurs défis pour leur présent et leur avenir.</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fr-FR"/>
        </w:rPr>
      </w:pPr>
      <w:r w:rsidRPr="00F3229A">
        <w:rPr>
          <w:rFonts w:asciiTheme="majorHAnsi" w:eastAsia="Times New Roman" w:hAnsiTheme="majorHAnsi" w:cstheme="majorHAnsi"/>
          <w:b/>
          <w:bCs/>
          <w:color w:val="C00354"/>
          <w:sz w:val="56"/>
          <w:szCs w:val="56"/>
          <w:lang w:val="fr-FR"/>
        </w:rPr>
        <w:t>Lundi 28 juin</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 xml:space="preserve">SESSION D’INAUGURATION 11.00 – 12.00 Heure de Madrid </w:t>
      </w:r>
      <w:r w:rsidRPr="000552D2">
        <w:rPr>
          <w:rFonts w:asciiTheme="majorHAnsi" w:eastAsia="Times New Roman" w:hAnsiTheme="majorHAnsi" w:cstheme="majorHAnsi"/>
          <w:b/>
          <w:bCs/>
          <w:color w:val="8F1F76"/>
          <w:szCs w:val="24"/>
          <w:lang w:val="fr-FR"/>
        </w:rPr>
        <w:t>(HM)</w:t>
      </w:r>
      <w:r w:rsidRPr="00F3229A">
        <w:rPr>
          <w:rFonts w:asciiTheme="majorHAnsi" w:eastAsia="Times New Roman" w:hAnsiTheme="majorHAnsi" w:cstheme="majorHAnsi"/>
          <w:b/>
          <w:bCs/>
          <w:color w:val="8F1F76"/>
          <w:szCs w:val="24"/>
          <w:lang w:val="fr-FR"/>
        </w:rPr>
        <w:t xml:space="preserve"> 09.00-10.00 GMT</w:t>
      </w:r>
    </w:p>
    <w:p w:rsidR="00F3229A" w:rsidRPr="00F3229A" w:rsidRDefault="00F3229A" w:rsidP="000552D2">
      <w:pPr>
        <w:numPr>
          <w:ilvl w:val="0"/>
          <w:numId w:val="4"/>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Commentaires de bienvenue – Président ONCE     </w:t>
      </w:r>
    </w:p>
    <w:p w:rsidR="00F3229A" w:rsidRPr="00F3229A" w:rsidRDefault="00F3229A" w:rsidP="000552D2">
      <w:pPr>
        <w:numPr>
          <w:ilvl w:val="0"/>
          <w:numId w:val="4"/>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Commentaires de bienvenue – Président UMA     </w:t>
      </w:r>
    </w:p>
    <w:p w:rsidR="00F3229A" w:rsidRPr="00F3229A" w:rsidRDefault="00F3229A" w:rsidP="000552D2">
      <w:pPr>
        <w:numPr>
          <w:ilvl w:val="0"/>
          <w:numId w:val="4"/>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Commentaires de bienvenue – Président ICEVI     </w:t>
      </w:r>
    </w:p>
    <w:p w:rsidR="00F3229A" w:rsidRPr="00F3229A" w:rsidRDefault="00F3229A" w:rsidP="000552D2">
      <w:pPr>
        <w:numPr>
          <w:ilvl w:val="0"/>
          <w:numId w:val="4"/>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Discours d’inauguration (responsables gouvernementaux d’Espagne)    </w:t>
      </w:r>
    </w:p>
    <w:p w:rsidR="00F3229A" w:rsidRPr="00F3229A" w:rsidRDefault="00F3229A" w:rsidP="000552D2">
      <w:pPr>
        <w:numPr>
          <w:ilvl w:val="0"/>
          <w:numId w:val="4"/>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Allocution principale 1 (à inviter)</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12 h-13 h Partenariats pour le changement – Présentation du livre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[Un livre préparé conjointement par ICEVI et l’Overbook Nippon Network on Educational Technology (ON-NET) pour souligner l’impact de The Nippon Foundation (TNF) sur la vie des personnes malvoyantes dans la région d’Asie orientale grâce à l'application de la technologie]</w:t>
      </w:r>
    </w:p>
    <w:p w:rsidR="00F3229A" w:rsidRPr="00F3229A" w:rsidRDefault="00F3229A" w:rsidP="000552D2">
      <w:pPr>
        <w:numPr>
          <w:ilvl w:val="0"/>
          <w:numId w:val="5"/>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À propos du livre : </w:t>
      </w:r>
      <w:r w:rsidRPr="000552D2">
        <w:rPr>
          <w:rFonts w:asciiTheme="majorHAnsi" w:eastAsia="Times New Roman" w:hAnsiTheme="majorHAnsi" w:cstheme="majorHAnsi"/>
          <w:b/>
          <w:bCs/>
          <w:color w:val="000000"/>
          <w:sz w:val="30"/>
          <w:szCs w:val="30"/>
          <w:lang w:val="fr-FR"/>
        </w:rPr>
        <w:t>Larry Campbell</w:t>
      </w:r>
      <w:r w:rsidRPr="00F3229A">
        <w:rPr>
          <w:rFonts w:asciiTheme="majorHAnsi" w:eastAsia="Times New Roman" w:hAnsiTheme="majorHAnsi" w:cstheme="majorHAnsi"/>
          <w:color w:val="000000"/>
          <w:sz w:val="30"/>
          <w:szCs w:val="30"/>
          <w:lang w:val="fr-FR"/>
        </w:rPr>
        <w:t>, Président émérite, ICEVI</w:t>
      </w:r>
    </w:p>
    <w:p w:rsidR="00F3229A" w:rsidRPr="00F3229A" w:rsidRDefault="00F3229A" w:rsidP="000552D2">
      <w:pPr>
        <w:numPr>
          <w:ilvl w:val="0"/>
          <w:numId w:val="5"/>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fr-FR"/>
        </w:rPr>
        <w:t>Point de vue de l'ancien élève : Mon éducation, mon monde. </w:t>
      </w:r>
      <w:r w:rsidRPr="000552D2">
        <w:rPr>
          <w:rFonts w:asciiTheme="majorHAnsi" w:eastAsia="Times New Roman" w:hAnsiTheme="majorHAnsi" w:cstheme="majorHAnsi"/>
          <w:b/>
          <w:bCs/>
          <w:color w:val="000000"/>
          <w:sz w:val="30"/>
          <w:szCs w:val="30"/>
          <w:lang w:val="en-US"/>
        </w:rPr>
        <w:t>Sohankumar Motwani</w:t>
      </w:r>
      <w:r w:rsidRPr="00F3229A">
        <w:rPr>
          <w:rFonts w:asciiTheme="majorHAnsi" w:eastAsia="Times New Roman" w:hAnsiTheme="majorHAnsi" w:cstheme="majorHAnsi"/>
          <w:color w:val="000000"/>
          <w:sz w:val="30"/>
          <w:szCs w:val="30"/>
          <w:lang w:val="en-US"/>
        </w:rPr>
        <w:t>, Philippines. </w:t>
      </w:r>
      <w:r w:rsidRPr="000552D2">
        <w:rPr>
          <w:rFonts w:asciiTheme="majorHAnsi" w:eastAsia="Times New Roman" w:hAnsiTheme="majorHAnsi" w:cstheme="majorHAnsi"/>
          <w:b/>
          <w:bCs/>
          <w:color w:val="000000"/>
          <w:sz w:val="30"/>
          <w:szCs w:val="30"/>
          <w:lang w:val="en-US"/>
        </w:rPr>
        <w:t>Vina Dipoirawan</w:t>
      </w:r>
      <w:r w:rsidRPr="00F3229A">
        <w:rPr>
          <w:rFonts w:asciiTheme="majorHAnsi" w:eastAsia="Times New Roman" w:hAnsiTheme="majorHAnsi" w:cstheme="majorHAnsi"/>
          <w:color w:val="000000"/>
          <w:sz w:val="30"/>
          <w:szCs w:val="30"/>
          <w:lang w:val="en-US"/>
        </w:rPr>
        <w:t>, Indonésie</w:t>
      </w:r>
    </w:p>
    <w:p w:rsidR="00F3229A" w:rsidRPr="00F3229A" w:rsidRDefault="00F3229A" w:rsidP="000552D2">
      <w:pPr>
        <w:numPr>
          <w:ilvl w:val="0"/>
          <w:numId w:val="5"/>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Présentation du livre et discours spécial : </w:t>
      </w:r>
      <w:r w:rsidRPr="000552D2">
        <w:rPr>
          <w:rFonts w:asciiTheme="majorHAnsi" w:eastAsia="Times New Roman" w:hAnsiTheme="majorHAnsi" w:cstheme="majorHAnsi"/>
          <w:b/>
          <w:bCs/>
          <w:color w:val="000000"/>
          <w:sz w:val="30"/>
          <w:szCs w:val="30"/>
          <w:lang w:val="fr-FR"/>
        </w:rPr>
        <w:t>M. Yohei Sasakawa</w:t>
      </w:r>
      <w:r w:rsidRPr="00F3229A">
        <w:rPr>
          <w:rFonts w:asciiTheme="majorHAnsi" w:eastAsia="Times New Roman" w:hAnsiTheme="majorHAnsi" w:cstheme="majorHAnsi"/>
          <w:color w:val="000000"/>
          <w:sz w:val="30"/>
          <w:szCs w:val="30"/>
          <w:lang w:val="fr-FR"/>
        </w:rPr>
        <w:t>, Président, TNF</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Séance plénière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12.30 – 02.00 pm Heure de Madrid (HM) 10.30 – 12.00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Débat sur la coopération internationale (VP Commission européenne ; Rapporteur des Nations Unies)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Webinaires thématiques parallèles 2.30-22.00 pm Heure de Madrid (HM) 12.30-20.00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SESSION 1</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lastRenderedPageBreak/>
        <w:t>28-6-2021 - 2.30-4.00 pm Heure de Madrid (HM) 12.30-14.00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Travailler avec des personnes atteintes de MDVI (handicaps multiples et troubles de la vue) – Challenges et opportunités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La séance traitera l’importance de la communication, de l'estime de soi et de l’émancipation des personnes atteintes de MDVI dans les pays pauvres et en voie de développement - surmonter les obstacles grâce à une planification irréprochable et à l'exécution de programmes en collaboration avec les personnes concernées.  Elle montrera la façon d'exercer une influence sur les mesures du gouvernement pour faire évoluer les droits des personnes atteintes de MDVI et l’importance d’une bonne planification de la transition sur leur émancipation financière et leur estime de soi.  Ce sera l’occasion de partager des bonnes pratiques et de discuter d'adaptations et de mesures de renforcement simples et raisonnables.    Le panel est composé de 4 spécialistes dans le travail auprès des personnes atteintes de handicaps multiples et de troubles de la vision (MDVI) qui, pour 3 d'entre eux, rassemblent plus 100 ans d’expérience.  Les 4 personnes du panel partageront leur expérience et le savoir-faire qu’ils ont recueilli au cours des 4 décennies de formation de concepts, de planification et de mise en œuvre de plusieurs programmes en faveur des personnes atteintes de MDVI et de surdicécité.  L’objectif est de mettre en lumière la réalité, mais aussi d’offrir un guide pratique et un recueil d'apprentissage issu du travail auprès de personnes atteintes de MDVI et de surdicécité. </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6"/>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Nandini Rawal</w:t>
      </w:r>
      <w:r w:rsidRPr="00F3229A">
        <w:rPr>
          <w:rFonts w:asciiTheme="majorHAnsi" w:eastAsia="Times New Roman" w:hAnsiTheme="majorHAnsi" w:cstheme="majorHAnsi"/>
          <w:color w:val="000000"/>
          <w:sz w:val="30"/>
          <w:szCs w:val="30"/>
          <w:lang w:val="fr-FR"/>
        </w:rPr>
        <w:t>, trésorier d’ICEVI et directeur général de Blind People’s Association (Inde), une ONG de premier plan.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Enseignement supérieur pour personnes atteintes de troubles visuels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Le programme d’enseignement supérieure d’ICEVI qui est en train d’être mis en place en Indonésie, aux Philippines, au Cambodge, à Myanmar, en Mongolie, au Vietnam et au Laos avec le soutien de The Nippon Foundation est l'une des activités phares d’ICEVI.  Ce programme a eu un profond impact dans le domaine de l’enseignement </w:t>
      </w:r>
      <w:r w:rsidRPr="00F3229A">
        <w:rPr>
          <w:rFonts w:asciiTheme="majorHAnsi" w:eastAsia="Times New Roman" w:hAnsiTheme="majorHAnsi" w:cstheme="majorHAnsi"/>
          <w:color w:val="000000"/>
          <w:sz w:val="30"/>
          <w:szCs w:val="30"/>
          <w:lang w:val="fr-FR"/>
        </w:rPr>
        <w:lastRenderedPageBreak/>
        <w:t>supérieur dans la région ASEAN.  Ce projet est mis en œuvre dans le but de créer un environnement inclusif dans les institutions d’enseignement supérieur et d'améliorer les aptitudes technologiques des étudiants atteints de troubles visuels afin de leur permettre de suivre leurs études.  Le programme, qui a démarré en 2007 en Indonésie et qui est actuellement en place dans sept pays, a aidé plus de 2 500 étudiants atteints de troubles visuels à poursuivre leur cursus universitaire.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Après avoir permis de faire augmenter le nombre d’étudiants aveugles ou malvoyants à intégrer l'université, le projet se concentre actuellement sur le développement de qualités personnelles et sur la création d'opportunités professionnelles pour les diplômés malvoyants. À l'heure actuelle, le projet a aussi permis l'accès à l'emploi de plus de 300 diplômés.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partenaires du projet soulignent que, pour développer l’intégration sur le marché du travail, il doit y avoir une intervention dans deux aspects. Le premier est l'environnement : le développement de mesures gouvernementales dynamiques, la sensibilisation des employeurs pour créer des postes de travail pour des personnes malvoyantes et l'aménagement raisonnable du cadre de travail pour mettre en valeur les capacités des employés malvoyants. Le deuxième est l’intervention auprès de personnes malvoyantes : l’amélioration de leurs capacités qui élargira leur accès à l'emploi et leur émancipation.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Lors de ce webinaire, les partenaires du projet en Indonésie, aux Philipines et au Vietnam partageront leur expérience dans l'amélioration des opportunités pour les étudiants malvoyants au sein de l'enseignement supérieur. Ils feront également part des stratégies qu’ils ont adoptées afin d’optimiser leurs opportunités professionnelles en faisant une mention spéciale à la façon dont ils ont organisé les activités au cours de la pandémie du COVID-19.</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7"/>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Aria Indrawati</w:t>
      </w:r>
      <w:r w:rsidRPr="00F3229A">
        <w:rPr>
          <w:rFonts w:asciiTheme="majorHAnsi" w:eastAsia="Times New Roman" w:hAnsiTheme="majorHAnsi" w:cstheme="majorHAnsi"/>
          <w:color w:val="000000"/>
          <w:sz w:val="30"/>
          <w:szCs w:val="30"/>
          <w:lang w:val="fr-FR"/>
        </w:rPr>
        <w:t>, président régional, ICEVI Asie orientale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lastRenderedPageBreak/>
        <w:t>Handicap et intersectionnalité : efforts communs pour promouvoir l’intégration totale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Comme l'indique la Convention sur les droits des personnes handicapées aux articles 4, 5 et 6. Les questions de sexe, de discrimination multiple, etc. ainsi que les éléments fondamentaux des Objectifs de développement durable constituent un large domaine de promotion qui demande encore plus de mesures de la part des organisations de personnes handicapées et d'autres acteurs impliqués.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Cette session explorera en profondeur la situation actuelle du handicap et les intersectionnalités ainsi que la façon dont les organisations de personnes handicapées peuvent jouer un rôle singulier dans l’élimination des formes de discrimination existantes.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Grâce à la présence de spécialistes de haut niveau et de représentants des OPH qui apporteront l'expérience de plusieurs régions du monde, nous essaierons de comprendre les défis qui se présentent à nous et de trouver une façon de mieux se préparer pour promouvoir et défendre nos droits.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8"/>
        </w:numPr>
        <w:spacing w:before="100" w:beforeAutospacing="1" w:after="100" w:afterAutospacing="1" w:line="240" w:lineRule="auto"/>
        <w:ind w:left="426" w:hanging="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Gertrude Oforiwa Fefoame</w:t>
      </w:r>
      <w:r w:rsidRPr="00F3229A">
        <w:rPr>
          <w:rFonts w:asciiTheme="majorHAnsi" w:eastAsia="Times New Roman" w:hAnsiTheme="majorHAnsi" w:cstheme="majorHAnsi"/>
          <w:color w:val="000000"/>
          <w:sz w:val="30"/>
          <w:szCs w:val="30"/>
          <w:lang w:val="en-US"/>
        </w:rPr>
        <w:t> (UMC)</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L'avenir du travail, nouveaux cadres de travail post-COVID-19</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Cette session se concentrera sur la réflexion, le débat et la diffusion de bonnes pratiques sur l'avenir du travail d’un point de vue d’intégration du handicap. Plusieurs tendances de l'avenir du travail seront analysées, comme la transformation numérique, la révolution des compétences, les changements culturels et démographiques, ainsi que la nouvelle économie « verte ».</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Toutes ces tendances représentent des défis et des opportunités qui doivent être pris en compte afin de garantir que l'avenir du travail ne laisse personne à la traîne et qu’il profite à tous, y compris aux personnes en situation de handicap - plus d’un milliard de personnes dans le monde. L’Agenda 2030 et les Objectifs de développement durable nous rappellent que les personnes handicapées constituent un </w:t>
      </w:r>
      <w:r w:rsidRPr="00F3229A">
        <w:rPr>
          <w:rFonts w:asciiTheme="majorHAnsi" w:eastAsia="Times New Roman" w:hAnsiTheme="majorHAnsi" w:cstheme="majorHAnsi"/>
          <w:color w:val="000000"/>
          <w:sz w:val="30"/>
          <w:szCs w:val="30"/>
          <w:lang w:val="fr-FR"/>
        </w:rPr>
        <w:lastRenderedPageBreak/>
        <w:t>groupe vulnérable. Cette perspective est fondamentale pour atteindre un avenir durable et, par conséquent une économie inclusive.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9"/>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Fernando Riaño Riaño</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Session 2:</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28-6-2021 - 4.30-6.00 pm Heure de Madrid (HM) 14.30-16.00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Accessibilité et rôle des OPD dans la reconstruction en mieux pour / avec tout le monde au cours de la Décennie d'action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Au cours des 30 prochaines années, les villes façonneront tous les aspects du développement mondial, y compris la manière dont les droits humains fondamentaux sont promus, protégés et réalisés.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Aujourd’hui déjà, plus de la moitié de la population mondiale vit dans des villes, et plus de 15% d’entre elles sont des personnes handicapées. Des exemples récents de crise mondiale comme la pandémie de Covid-19 nous rappellent qu'il reste encore beaucoup à faire pour lutter contre la discrimination et les obstacles à l'accessibilité qui entretiennent les inégalités et l'exclusion dans les zones urbaines. D'ici 2050, 70% de la population mondiale vivra dans des villes, dont 2 milliards de personnes handicapées et de personnes âgées. Avec 60% des établissements urbains restant à construire, il existe une opportunité unique de façonner un avenir durable qui soit inclusif et accessible à tous, conformément à la Convention relative aux droits des personnes handicapées (CRDPH) et à l'Agenda 2030.</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Cette session discutera des raisons pour lesquelles l'engagement autour d'un développement urbain inclusif et accessible est essentiel pour reconstruire mieux, et le rôle clé indispensable des OPD pour influencer la façon dont nos villes sont planifiées et conçues pour garantir que les barrières d'accessibilité sont supprimées et qu'aucune nouvelle n'est créée. Cette session ouvrira la discussion sur le potentiel du Nouvel Agenda Urbain en tant que locomotive pour accélérer la réalisation de la CRPD au niveau communautaire, ainsi que sur la manière dont les cadres critiques soutiennent le travail de l'UMA et de </w:t>
      </w:r>
      <w:r w:rsidRPr="00F3229A">
        <w:rPr>
          <w:rFonts w:asciiTheme="majorHAnsi" w:eastAsia="Times New Roman" w:hAnsiTheme="majorHAnsi" w:cstheme="majorHAnsi"/>
          <w:color w:val="000000"/>
          <w:sz w:val="30"/>
          <w:szCs w:val="30"/>
          <w:lang w:val="fr-FR"/>
        </w:rPr>
        <w:lastRenderedPageBreak/>
        <w:t>nos partenaires pour garantir l'inclusion du handicap, l'accessibilité et la conception universelle. parties intégrantes de la politique et de la pratique urbaines.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0"/>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Hannes Lagrelious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Enseignement inclusif</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L’objectif de ce webinaire est de faire une réflexion sur le panorama actuel de l’enseignement inclusif et sur son évolution au cours des cinq dernières décennies, de faire un état des lieux de l'intégration des enfants malvoyants dans des classes inclusives et d'analyser la façon dont les principaux acteurs peuvent préconiser de façon globale la mise en pratique de l’enseignement inclusif. L'accent sera mis sur la façon de faciliter un changement systématique général afin de garantir l’intégration, l'égalité et un enseignement de qualité, conformément aux dispositions de l’ODD 4 et de l’article 24 de la Convention relative aux droits des personnes handicapées.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 webinaire sera présenté par un panel de spécialistes issus de plusieurs régions du monde.  L'expérience et les connaissances variées de ce précieux panel permettra une discussion riche, allant du cadre universitaire à la recherche, en passant par les finances et les ressources, les mesures et pratiques ainsi que par la promotion et la mise en place d’initiatives d'enseignement inclusif dans les pays développés et en voie de développement. Il sera fait référence à l’IDA Flagship Report, au Rapport Gem et à d’autres rapports nationaux et internationaux importants.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r w:rsidRPr="00F3229A">
        <w:rPr>
          <w:rFonts w:asciiTheme="majorHAnsi" w:eastAsia="Times New Roman" w:hAnsiTheme="majorHAnsi" w:cstheme="majorHAnsi"/>
          <w:color w:val="000000"/>
          <w:sz w:val="30"/>
          <w:szCs w:val="30"/>
          <w:lang w:val="en-US"/>
        </w:rPr>
        <w:t>:</w:t>
      </w:r>
    </w:p>
    <w:p w:rsidR="00F3229A" w:rsidRPr="00F3229A" w:rsidRDefault="00F3229A" w:rsidP="000552D2">
      <w:pPr>
        <w:numPr>
          <w:ilvl w:val="0"/>
          <w:numId w:val="11"/>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Dr. Praveena Sukhraj-Ely,</w:t>
      </w:r>
      <w:r w:rsidRPr="00F3229A">
        <w:rPr>
          <w:rFonts w:asciiTheme="majorHAnsi" w:eastAsia="Times New Roman" w:hAnsiTheme="majorHAnsi" w:cstheme="majorHAnsi"/>
          <w:color w:val="000000"/>
          <w:sz w:val="30"/>
          <w:szCs w:val="30"/>
          <w:lang w:val="fr-FR"/>
        </w:rPr>
        <w:t> premier vice-président d’ICEVI et représentant de l’Union mondiale des aveugles à l’International Disability Alliance Inclusive Education Task Team.</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Implication parentale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Les parents d’enfants aveugles ou malvoyants, y compris d’enfants atteints de handicaps multiples, partagent un lien émotionnel dès l’instant du diagnostic. Ils ont besoin de comprendre comment les répercussions que le trouble visuel aura sur la croissance de leur enfant et de s’assurer qu’il recevra les soins médicaux et l’éducation spécialisée dont il aura besoin. Aucun lien n'est plus fort que l'amour des parents pour leur enfant. Rejoignez-nous pour entendre les témoignages de parents du monde entier sur le rôle significatif qu’ils ont joué dans la vie de leurs enfants et sur l'effet qu’ont eu leurs voix pour soutenir et défendre d'autres familles à l’échelle locale, régionale, nationale et internationale. Ce webinaire est présenté par : L’Association international de parents d'enfants malvoyants (International Association of and for Parents of Children with Visual Impairment - IAPVI), un organisme vivant et un réseau de parents, en tant qu’individus et organisations, qui cherche à encourager et à apprendre aux familles à élever leurs enfants grâce à l'accès à des ressources.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2"/>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Susan LaVenture</w:t>
      </w:r>
      <w:r w:rsidRPr="00F3229A">
        <w:rPr>
          <w:rFonts w:asciiTheme="majorHAnsi" w:eastAsia="Times New Roman" w:hAnsiTheme="majorHAnsi" w:cstheme="majorHAnsi"/>
          <w:color w:val="000000"/>
          <w:sz w:val="30"/>
          <w:szCs w:val="30"/>
          <w:lang w:val="fr-FR"/>
        </w:rPr>
        <w:t>, ICEVI Amérique du Nord et Caraïbes Directrice de l’Association internationale de parents d'enfants malvoyants (IAPVI)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Supports d’apprentissage accessibles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Il y a plus de 20 ans, Kofi Annan a souligné que l’accès à l’éducation était plus important que la construction de bâtiments scolaires. « Les écoles doivent être accessibles, avoir des professeurs qualifiés et offrir des supports comme des livres scolaires. » Alors, où en sommes-nous ? Au cours des deux dernières décennies avons-nous pu garantir que les livres scolaires sont accessibles aux élèves aveugles et malvoyants ? Cette session fera part d'expériences de la part de pays industrialisés et en cours de développement. Il y sera présenté la façon dont un programme de renforcement des capacités a permis de faire augmenter la disponibilité de ressources importantes à l’échelle locale. Il sera aussi souligné la façon dont ce modèle s’est adapté à la pandémie mondiale. Nous expliquerons comment le programme Bookshare a permis l'accès d’environ un demi-million de personnes dans 90 pays à près d’un million de livres accessibles. Les assistants à cette session </w:t>
      </w:r>
      <w:r w:rsidRPr="00F3229A">
        <w:rPr>
          <w:rFonts w:asciiTheme="majorHAnsi" w:eastAsia="Times New Roman" w:hAnsiTheme="majorHAnsi" w:cstheme="majorHAnsi"/>
          <w:color w:val="000000"/>
          <w:sz w:val="30"/>
          <w:szCs w:val="30"/>
          <w:lang w:val="fr-FR"/>
        </w:rPr>
        <w:lastRenderedPageBreak/>
        <w:t>connaîtront des ressources pratiques permettant aux éducateurs et aux responsables de mettre davantage de livres accessibles entre les mains d’élèves atteints de troubles visuels. Ils pourront alors évaluer les progrès qui ont été faits afin d'atteindre l’objectif de l'apprentissage accessible.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3"/>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Richard Orme,</w:t>
      </w:r>
      <w:r w:rsidRPr="00F3229A">
        <w:rPr>
          <w:rFonts w:asciiTheme="majorHAnsi" w:eastAsia="Times New Roman" w:hAnsiTheme="majorHAnsi" w:cstheme="majorHAnsi"/>
          <w:color w:val="000000"/>
          <w:sz w:val="30"/>
          <w:szCs w:val="30"/>
          <w:lang w:val="en-US"/>
        </w:rPr>
        <w:t> Visionary Learning</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Session 3</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28-6-2021 - 6.30-8.00 pm Heure de Madrid (HM) 16.30-18.00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Les partenariats : un élément clé du mouvement des personnes handicapées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Tout au long de nos années d'existence nous avons été témoins du fait que, de façon individuelle, nous n'avons pas pu atteindre nos objectifs ou tout au moins les plus importants. C'est grâce aux partenariats avec d’autres organisations, avec des gouvernements et des administrations que nous avons été entendus et que nous avons réussi à placer le handicap sur les agendas politiques du monde entier. Toutes les organisations de personnes handicapées ont réussi à améliorer et à atteindre leurs objectifs grâce à des partenariats et en s'asseyant à des tables de négociation pour faire valoir leurs droits avant tout. Tout cela a été mis en évidence dans le processus de la Convention des Nations Unies pour les droits des personnes handicapées. De plus, la collaboration entre les différents secteurs de la société est devenue l'une des clés fondamentales du développement durable. Son importance a été pleinement reconnue par les Nation Unies, par le secteur privé et par toutes les institutions à la tête du développement international. D'ailleurs, elle a été prise en compte par les Objectifs de développement durable (ODD 17), qui reconnaissent clairement que tous les secteurs de la société sont des acteurs essentiels du développement et évoquent le besoin d'une coopération sans précédent entre les sociétés civiles, les entreprises, les administrations et le secteur tertiaire pour atteindre cet objectif. Lors de ce webinaire/atelier, nous chercherons à promouvoir et à partager de </w:t>
      </w:r>
      <w:r w:rsidRPr="00F3229A">
        <w:rPr>
          <w:rFonts w:asciiTheme="majorHAnsi" w:eastAsia="Times New Roman" w:hAnsiTheme="majorHAnsi" w:cstheme="majorHAnsi"/>
          <w:color w:val="000000"/>
          <w:sz w:val="30"/>
          <w:szCs w:val="30"/>
          <w:lang w:val="fr-FR"/>
        </w:rPr>
        <w:lastRenderedPageBreak/>
        <w:t>bonnes pratiques en termes de partenariats stratégiques pour le handicap afin de défendre nos droits et d’améliorer nos relations avec les organismes publics et privés.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4"/>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Fernando Riaño Riaño</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COVID-19 leçons apprises pour un monde plus inclusif et accessible – Comment mieux se reconstruire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L'UMA a documenté un rapport complet examinant dans quelle mesure la pandémie de COVID-19 a révélé de profondes inégalités structurelles dans la société, et plus encore, comment elles se déroulent en cas de crise. Les données recueillies dans le cadre de l'étude montrent que les personnes handicapées, les personnes âgées et les personnes issues de milieux socio-économiques défavorisés sont parmi les plus durement touchées par la pandémie. Si ce rapport met en lumière les voix des personnes aveugles et malvoyantes, bon nombre des expériences partagées résonnent fortement avec de nombreuses autres études qui mettent également en évidence la manière dont les groupes marginalisés ont été touchés par cette crise. À travers ce rapport, l'UMA espère sensibiliser aux spécificités de ce que ces défis ont signifié en réalité pour ses mandants, ainsi que faire la lumière sur ce qui a été des stratégies de résilience efficaces pour eux.</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 webinaire présentera le résultat de notre rapport UMA covid-19 Amplifying Voices: Our Lives, Our Say. Et donnera des participations pour échanger sur certaines des opportunités et défis rencontrés en temps de pandémie.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5"/>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Yana Zayed</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Participation de personnes en situation de handicap et d’éducateurs dans la réussite de l’ODD 4</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Ce webinaire a pour but d'explorer le rôle des personnes en situation de handicap et de leurs éducateurs pour garantir que la politique en </w:t>
      </w:r>
      <w:r w:rsidRPr="00F3229A">
        <w:rPr>
          <w:rFonts w:asciiTheme="majorHAnsi" w:eastAsia="Times New Roman" w:hAnsiTheme="majorHAnsi" w:cstheme="majorHAnsi"/>
          <w:color w:val="000000"/>
          <w:sz w:val="30"/>
          <w:szCs w:val="30"/>
          <w:lang w:val="fr-FR"/>
        </w:rPr>
        <w:lastRenderedPageBreak/>
        <w:t>termes d’éducation est inclusive. Il permettra d’observer l'encadrement que les ODD apportent aux mesures, particulièrement à celles qui font appel à plusieurs ministères et intervenants pour travailler ensemble dans un objectif cohérent. Les invités traiteront des plans de participation, et de ce qu’implique la participation significative, et analyseront des exemples de la façon dont les mesures d’éducation inclusive peuvent être améliorées grâce à une approche participative et collaborative. L’objectif de la session est de faire comprendre aux assistants la façon dont les ODD peuvent apporter un encadrement à la prise de décision participative, et comment les utiliser pour s'assurer que personne n'est laissé de côté dans le domaine de l’éducation.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6"/>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Andrew Griffiths, </w:t>
      </w:r>
      <w:r w:rsidRPr="00F3229A">
        <w:rPr>
          <w:rFonts w:asciiTheme="majorHAnsi" w:eastAsia="Times New Roman" w:hAnsiTheme="majorHAnsi" w:cstheme="majorHAnsi"/>
          <w:color w:val="000000"/>
          <w:sz w:val="30"/>
          <w:szCs w:val="30"/>
          <w:lang w:val="fr-FR"/>
        </w:rPr>
        <w:t>responsable de défens, Sightsavers </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Innovation, tendances et progrès en matière de basse vision dans la prévention de la cécité</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Dégénérescence rétinienne héréditaire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Handicap visuel. Services de soutien.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Une fois l'adhésion et l'ophtalmologie progressent.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Sociétés européennes de maladies rares.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Session 4</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28-6-2021 - 8.30-10.00 pm Heure de Madrid (HM) 18.30-20.00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Malvoyance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fr-FR"/>
        </w:rPr>
        <w:t xml:space="preserve">Dans ce webinaire d’actualité nous examinerons trois points concernant les personnes malvoyantes. Dr Penny Rosenblum de l’American Foundation for the Blind traitera d'une recherche menée l'année dernière sur les effets de la pandémie liée au Covid-19 sur l’éducation des bébés, des enfants et des jeunes malvoyants. L’étude à fait ressortir des informations qui aident les familles et les professionnels à mieux comprendre les défis et les réussites auxquels </w:t>
      </w:r>
      <w:r w:rsidRPr="00F3229A">
        <w:rPr>
          <w:rFonts w:asciiTheme="majorHAnsi" w:eastAsia="Times New Roman" w:hAnsiTheme="majorHAnsi" w:cstheme="majorHAnsi"/>
          <w:color w:val="000000"/>
          <w:sz w:val="30"/>
          <w:szCs w:val="30"/>
          <w:lang w:val="fr-FR"/>
        </w:rPr>
        <w:lastRenderedPageBreak/>
        <w:t xml:space="preserve">les étudiants malvoyants, y compris les étudiants en situation de handicaps multiples et sourdaveugles, sont confrontés lorsque l’éducation est fournie de manière individuelle. Les recherches de l’AFB ont aussi étudié la façon dont les professeurs et les moniteurs d’orientation et de mobilité ont fourni leurs services lorsqu’ils n’ont pas eu accès à leurs méthodes et outils habituels. Martin Kieti traitera le « fossé psychologique » et soulignera les défis auxquels les étudiants malvoyants font face dans leur lutte pour trouver leur place dans la classe tout en apprenant en même temps. Afin d’apporter un point de vue sur la durée de vie, Pr Maria Rodrigues examinera la qualité de vie des personnes âgées malvoyantes. </w:t>
      </w:r>
      <w:r w:rsidRPr="00F3229A">
        <w:rPr>
          <w:rFonts w:asciiTheme="majorHAnsi" w:eastAsia="Times New Roman" w:hAnsiTheme="majorHAnsi" w:cstheme="majorHAnsi"/>
          <w:color w:val="000000"/>
          <w:sz w:val="30"/>
          <w:szCs w:val="30"/>
          <w:lang w:val="en-US"/>
        </w:rPr>
        <w:t>Des questions suivront chaque présentation.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17"/>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Penny Rosenblum,</w:t>
      </w:r>
      <w:r w:rsidRPr="00F3229A">
        <w:rPr>
          <w:rFonts w:asciiTheme="majorHAnsi" w:eastAsia="Times New Roman" w:hAnsiTheme="majorHAnsi" w:cstheme="majorHAnsi"/>
          <w:color w:val="000000"/>
          <w:sz w:val="30"/>
          <w:szCs w:val="30"/>
          <w:lang w:val="en-US"/>
        </w:rPr>
        <w:t> Directrice de recherches de l’American Foundation for the Blind</w:t>
      </w:r>
    </w:p>
    <w:p w:rsidR="00F3229A" w:rsidRPr="00F3229A" w:rsidRDefault="00F3229A" w:rsidP="000552D2">
      <w:pPr>
        <w:numPr>
          <w:ilvl w:val="0"/>
          <w:numId w:val="17"/>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Kay Alicyn Ferrell,</w:t>
      </w:r>
      <w:r w:rsidRPr="00F3229A">
        <w:rPr>
          <w:rFonts w:asciiTheme="majorHAnsi" w:eastAsia="Times New Roman" w:hAnsiTheme="majorHAnsi" w:cstheme="majorHAnsi"/>
          <w:color w:val="000000"/>
          <w:sz w:val="30"/>
          <w:szCs w:val="30"/>
          <w:lang w:val="fr-FR"/>
        </w:rPr>
        <w:t> Président régionale d’Amérique du Nord/Caraïbes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Responsabilité d'entreprise et OPD</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Modérateur:</w:t>
      </w:r>
    </w:p>
    <w:p w:rsidR="00F3229A" w:rsidRPr="00F3229A" w:rsidRDefault="00F3229A" w:rsidP="000552D2">
      <w:pPr>
        <w:numPr>
          <w:ilvl w:val="0"/>
          <w:numId w:val="18"/>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Fernando Riaño Riaño</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Mise en place du traité de Marrakech : initiative de formation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L'une des principales priorités de l’Union mondiale des aveugles est de lutter pour l'accès à l’information et aux communications. Nous sommes convaincus qu’une meilleure information et des connaissances plus profondes permettent d’améliorer la vie de tous.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 webinaire a pour but de présenter quelques-uns des développements récents menés par l’UMA en faveur de notre communauté.</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Notre analyse ira d’un ensemble d’opportunités de formation jusqu’à la défense d’intérêts à l’échelle nationale en passant par les efforts menés au niveau régional pour promouvoir le traité de Marrakech.</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lastRenderedPageBreak/>
        <w:t>Modérateur:</w:t>
      </w:r>
    </w:p>
    <w:p w:rsidR="00F3229A" w:rsidRPr="00F3229A" w:rsidRDefault="00F3229A" w:rsidP="000552D2">
      <w:pPr>
        <w:numPr>
          <w:ilvl w:val="0"/>
          <w:numId w:val="19"/>
        </w:numPr>
        <w:spacing w:before="100" w:beforeAutospacing="1" w:after="100" w:afterAutospacing="1" w:line="240" w:lineRule="auto"/>
        <w:ind w:left="284" w:hanging="283"/>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Scott Labarre</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en-US"/>
        </w:rPr>
      </w:pPr>
      <w:r w:rsidRPr="00F3229A">
        <w:rPr>
          <w:rFonts w:asciiTheme="majorHAnsi" w:eastAsia="Times New Roman" w:hAnsiTheme="majorHAnsi" w:cstheme="majorHAnsi"/>
          <w:b/>
          <w:bCs/>
          <w:color w:val="C00354"/>
          <w:sz w:val="56"/>
          <w:szCs w:val="56"/>
          <w:lang w:val="en-US"/>
        </w:rPr>
        <w:t>Mardi 29 juin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Sessions commerciales parallèles de l'UMA et de l'ICEVI de 11h00 à 14h00, heure de Madrid (HM), de 9h00 à 12h00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Structure du programme de l'UMA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11.00 – 12.30 Heure de Madrid (HM) 09:00-10.30 GMT</w:t>
      </w:r>
    </w:p>
    <w:p w:rsidR="00F3229A" w:rsidRPr="00F3229A" w:rsidRDefault="00F3229A" w:rsidP="000552D2">
      <w:pPr>
        <w:numPr>
          <w:ilvl w:val="0"/>
          <w:numId w:val="20"/>
        </w:numPr>
        <w:tabs>
          <w:tab w:val="clear" w:pos="720"/>
          <w:tab w:val="num" w:pos="567"/>
        </w:tabs>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Bienvenue du président de l’UMA</w:t>
      </w:r>
    </w:p>
    <w:p w:rsidR="00F3229A" w:rsidRPr="00F3229A" w:rsidRDefault="00F3229A" w:rsidP="000552D2">
      <w:pPr>
        <w:numPr>
          <w:ilvl w:val="0"/>
          <w:numId w:val="20"/>
        </w:numPr>
        <w:tabs>
          <w:tab w:val="clear" w:pos="720"/>
          <w:tab w:val="num" w:pos="567"/>
        </w:tabs>
        <w:spacing w:before="100" w:beforeAutospacing="1" w:after="100" w:afterAutospacing="1" w:line="240" w:lineRule="auto"/>
        <w:ind w:left="567"/>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Présentation de rapports, résolutions, amendements constitutionnels, budget et autres sujets adoptés au cours de la semaine du 21-25 juin.</w:t>
      </w:r>
    </w:p>
    <w:p w:rsidR="00F3229A" w:rsidRPr="00F3229A" w:rsidRDefault="00F3229A" w:rsidP="000552D2">
      <w:pPr>
        <w:numPr>
          <w:ilvl w:val="0"/>
          <w:numId w:val="20"/>
        </w:numPr>
        <w:tabs>
          <w:tab w:val="clear" w:pos="720"/>
          <w:tab w:val="num" w:pos="567"/>
        </w:tabs>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Avis de décès</w:t>
      </w:r>
    </w:p>
    <w:p w:rsidR="00F3229A" w:rsidRPr="00F3229A" w:rsidRDefault="00F3229A" w:rsidP="000552D2">
      <w:pPr>
        <w:numPr>
          <w:ilvl w:val="0"/>
          <w:numId w:val="20"/>
        </w:numPr>
        <w:tabs>
          <w:tab w:val="clear" w:pos="720"/>
          <w:tab w:val="num" w:pos="567"/>
        </w:tabs>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Présentation des résultats des élections</w:t>
      </w:r>
    </w:p>
    <w:p w:rsidR="00F3229A" w:rsidRPr="00F3229A" w:rsidRDefault="00F3229A" w:rsidP="000552D2">
      <w:pPr>
        <w:numPr>
          <w:ilvl w:val="0"/>
          <w:numId w:val="20"/>
        </w:numPr>
        <w:tabs>
          <w:tab w:val="clear" w:pos="720"/>
          <w:tab w:val="num" w:pos="567"/>
        </w:tabs>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Autres sujets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12h30 - 02h00, heure de Madrid (HM) 10h30-12h00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Rapports régionaux par les présidents régionaux</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ABU</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AFUB</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EBU</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UMA-AP</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NA-C</w:t>
      </w:r>
    </w:p>
    <w:p w:rsidR="00F3229A" w:rsidRPr="00F3229A" w:rsidRDefault="00F3229A" w:rsidP="000552D2">
      <w:pPr>
        <w:numPr>
          <w:ilvl w:val="0"/>
          <w:numId w:val="21"/>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ULAC</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Structure du programme de l´lCEVI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11h00 - 12h30, heure de Madrid (HM) 9h00 - 10h30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Réunions régionales et groupes d'intérêts spécial</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12h30 - 02h00, heure de Madrid (HM) 10h30-12h00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Assemblée générale d´ICEVI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WEBINAIRES THÉMATIQUES PARALLÈLES 14h30 - 22h00 Heure de Madrid (HM) 12h30-20h00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Session 5</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29-6-2021 - 14h30-16h00, heure de Madrid (HM) 12h30-14h00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Leadership jeunesse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La création d’une demande d’éducation a été l'un des principes fondamentaux de la compagne mondiale pour l’éducation de tous les enfants malvoyants (EFAVI) mise en place par le Conseil international pour l’éducation des personnes malvoyantes (ICEVI) en partenariat avec l’Union mondiale des aveugles (UMA). L’objectif de la campagne était de trouver des leaders jeunes parmi les personnes malvoyantes pour organiser des réseaux nationaux et travailler avec les parents en les encourageant à accorder de la valeur à l’éducation de leurs enfants malvoyants. ICEVI a mis en place un programme d'enseignement supérieur pour les étudiants malvoyants de la région d’Asie orientale avec le soutien de The Nipon Foundation. Un programme intitulé « Country Champions program » a également été organisé aux Philippines en 2017 auquel des diplômés malvoyants ont participé en parlant de devenir des agents du changement, de lutter en faveur de l’éducation et de la situation professionnelle, d’influencer les législations, etc. Encouragées par l’impact positif de ce programme, des régions ICEVI ont mené certains programmes de leadership jeunesse au cours des quatre dernières années et ICEVI monde a aussi inclus le leadership jeunesse parmi ses stratégies à poursuivre. ICEVI pense que le programme leadership jeunesse est l'une des stratégies fondamentales pour l’émancipation. Ce webinaire présente quelques-uns des participants qui ont fait partie du programme de leadership jeunesse afin qu’ils partagent leurs expériences sur la façon dont leurs réseaux ont créé un impact sur l’éducation des personnes malvoyantes à l’échelle nationale et sur l'augmentation croissante des opportunités dans le secteur professionnel et éducatif pour les étudiants malvoyants.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2"/>
        </w:numPr>
        <w:tabs>
          <w:tab w:val="clear" w:pos="720"/>
          <w:tab w:val="num" w:pos="349"/>
        </w:tabs>
        <w:spacing w:before="100" w:beforeAutospacing="1" w:after="100" w:afterAutospacing="1" w:line="240" w:lineRule="auto"/>
        <w:ind w:left="567" w:hanging="567"/>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lastRenderedPageBreak/>
        <w:t>Marie Joyce Lopez,</w:t>
      </w:r>
      <w:r w:rsidRPr="00F3229A">
        <w:rPr>
          <w:rFonts w:asciiTheme="majorHAnsi" w:eastAsia="Times New Roman" w:hAnsiTheme="majorHAnsi" w:cstheme="majorHAnsi"/>
          <w:color w:val="000000"/>
          <w:sz w:val="30"/>
          <w:szCs w:val="30"/>
          <w:lang w:val="en-US"/>
        </w:rPr>
        <w:t> Resources for the Blind, Philippines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COVID-19 intervention dans les services aux personnes malvoyantes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Dans la plupart des pays d’Asie orientale, le confinement a été déclaré au cours de la dernière semaine de mars 2020 sans aucune perspective ni préparations spécifiques. La pandémie liée au COVID est une situation hors du commun qui a pris de court les gouvernements, les ONG, les instituts éducatifs, les individus et même les parents qui ont dû faire face aux besoins éducatifs d'enfants ayant des besoins spécifiques. Tous les internats, les auberges, les écoles inclusives ont été complètement fermées. Dans la plupart des cas, les étudiants n’ont même pas eu la possibilité d’aller chercher leurs livres en braille ni leurs supports auditifs. Même après un an de confinement des institutions éducatives, on ne sait toujours pas avec certitude quand les écoles rouvriront.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L’ICEVI Asie orientale a encouragé ses partenaires à développer des méthodes d’enseignement en ligne, à évaluer la performance et à effectuer des contrôles en se servant de la technologie, de supports audio et des moyens virtuels pour accéder à ces supports. Alors que ces approches ont été développées et mises en place en Inde, elles sont importantes et peuvent être reproduites et adoptées dans n’importe quel pays du monde. L’objectif de ce webinaire est de partager ces techniques avec les participants et de les motiver à faire évoluer ces méthodes rentables et novatrices d'atteindre les enfants à la maison par des moyens virtuels. Les présentateurs partageront aussi leur expérience, feront une démonstration de l'utilisation d’applications et diffuseront des liens de réseaux sociaux afin d’approfondir la compréhension de participants et de mettre en avant l'utilisation de ces initiatives virtuelles pour assurer l’éducation de ces enfants lors de situations telles que la pandémie du Covid.</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3"/>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Bhushan Punani,</w:t>
      </w:r>
      <w:r w:rsidRPr="00F3229A">
        <w:rPr>
          <w:rFonts w:asciiTheme="majorHAnsi" w:eastAsia="Times New Roman" w:hAnsiTheme="majorHAnsi" w:cstheme="majorHAnsi"/>
          <w:color w:val="000000"/>
          <w:sz w:val="30"/>
          <w:szCs w:val="30"/>
          <w:lang w:val="fr-FR"/>
        </w:rPr>
        <w:t> président régional, ICEVI Asie orientale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Où est Waldo? Où est Wally?</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Where's Waldo ou "Where's Wally" en dehors de l'Amérique du Nord, est une série de livres pour enfants représentant une charte de bande dessinée vêtue de vêtements uniques et brillants qui se cache à la vue de la foule, en espérant que vous le trouverez! Le défi est plus difficile qu'on pourrait l'imaginer. Le parallèle dans le monde non-cartoon sont les véhicules électriques. Vous voulez découvrir où ils sont, mais à travers leur silence, rester cachés à la vue de tous, en particulier lorsqu'ils sont garés. Un nouveau produit, bien nommé «WALDO», permet de découvrir TOUT véhicule en fournissant des alertes automatiques de sa présence, qu'il soit en mouvement ou stationné, de manière à faciliter l'identification de l'emplacement, avec précision - pour les personnes aveugles / malvoyantes.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4"/>
        </w:numPr>
        <w:spacing w:before="100" w:beforeAutospacing="1" w:after="100" w:afterAutospacing="1" w:line="240" w:lineRule="auto"/>
        <w:ind w:left="284"/>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Rob Nevin,</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Importance de l'emploi pour atteindre les objectifs de développement durable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objectifs de développement durable (ODD) des Nations Unies sont un plan d'action mondial pour améliorer la santé et l'éducation, réduire les inégalités et encourager la croissance économique afin de mettre fin à la pauvreté et à d'autres privations. Il n'y a pas de voie plus claire pour mettre fin à la pauvreté qu'un emploi significatif et correctement rémunéré. Au cours de cette session, un panel composé d'hommes d'affaires, d'activistes du handicap et de prestataires de services discutera des stratégies pour améliorer les opportunités d'emploi pour les personnes aveugles ou malvoyantes. La présentation du panel sera suivie d'un segment de questions et réponses pour les participants.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5"/>
        </w:numPr>
        <w:spacing w:before="100" w:beforeAutospacing="1" w:after="100" w:afterAutospacing="1" w:line="240" w:lineRule="auto"/>
        <w:ind w:left="284" w:hanging="284"/>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Karen Wolfe</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Session 6</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fr-FR"/>
        </w:rPr>
      </w:pPr>
      <w:r w:rsidRPr="000552D2">
        <w:rPr>
          <w:rFonts w:asciiTheme="majorHAnsi" w:eastAsia="Times New Roman" w:hAnsiTheme="majorHAnsi" w:cstheme="majorHAnsi"/>
          <w:b/>
          <w:bCs/>
          <w:color w:val="C00354"/>
          <w:sz w:val="30"/>
          <w:szCs w:val="30"/>
          <w:lang w:val="fr-FR"/>
        </w:rPr>
        <w:t>29-6-2021 - 16h30-18h00, heure de Madrid (HM) 14h30-16h00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lastRenderedPageBreak/>
        <w:t>Changement climatique dans l’éducation des personnes en situation de handicap</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personnes en situation de handicap font partie des groupes les plus démunis du monde. Le Covid-19 a mis en lumière que ce sont aussi les plus susceptibles de succomber à la maladie. Les personnes en situation de handicap sont en risque d’exclusion de la part de la société en raison de facteurs tels que leur genre, leur sexualité, leur ethnie, leurs idées religieuses, leur niveau d’éducation et leur situation géographique. Il n'est donc pas surprenant qu’ils fassent partie des plus exposés aux répercussions de l'accélération du changement climatique. Dans la pratique, cela signifie qu’ils cohabitent, ainsi que leur communauté, avec d’importants problèmes liés au changement climatique comme des orages, des inondations et des glissements de terrain de plus en plus fréquents, des sécheresses, des incendies ravageurs, des températures extrêmes et comment cela touche leurs ressources, leurs infrastructures et leurs cadres de vie.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Cette session se concentrera sur tout ce que cela représente pour les populations aveugles ou malvoyantes. Elle s'appuiera sur la recherche menée par l’ICEVI-IDDC au sujet des effets du changement climatique sur la vie des personnes malvoyantes et de leurs familles et partagera de bonnes pratiques. Elle approfondira l’importance de l'information accessible, abordera les sujets de la santé et du bien-être, du travail dans les partenariats inclusifs pour la réduction des risques de désastres naturels et bien plus.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Des orateurs d’ICEVI, IDDC, IDA et GLAD présenteront leurs pensées, leurs idées et leurs recommandations dans un webinaire participatif sous la forme d’interviews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6"/>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Sian Tesni,</w:t>
      </w:r>
      <w:r w:rsidRPr="00F3229A">
        <w:rPr>
          <w:rFonts w:asciiTheme="majorHAnsi" w:eastAsia="Times New Roman" w:hAnsiTheme="majorHAnsi" w:cstheme="majorHAnsi"/>
          <w:color w:val="000000"/>
          <w:sz w:val="30"/>
          <w:szCs w:val="30"/>
          <w:lang w:val="en-US"/>
        </w:rPr>
        <w:t> conseiller international – Education, CBM</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Enseignement des mathématiques pour les personnes malvoyantes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Les mathématiques font parties des matières importantes dans l'apprentissage des enfants car elles contribuent au développement de </w:t>
      </w:r>
      <w:r w:rsidRPr="00F3229A">
        <w:rPr>
          <w:rFonts w:asciiTheme="majorHAnsi" w:eastAsia="Times New Roman" w:hAnsiTheme="majorHAnsi" w:cstheme="majorHAnsi"/>
          <w:color w:val="000000"/>
          <w:sz w:val="30"/>
          <w:szCs w:val="30"/>
          <w:lang w:val="fr-FR"/>
        </w:rPr>
        <w:lastRenderedPageBreak/>
        <w:t>la pensée analytique et offre également une base pour de nombreux emplois en rapport avec la technologie. Lamentablement, l'enseignement des mathématiques est considéré difficile pour les enfants malvoyants ; on leur a donc souvent refusé l'accès à l’apprentissage de cette matière. Avec la croissance de l’éducation inclusive, l'apprentissage des mathématiques est devenu inévitable et, par conséquent, des efforts sont mis en œuvre partout dans le monde pour concevoir des stratégies qui pourraient permettre aux enfants malvoyants d'apprendre les mathématiques. Il est aussi encourageant de voir que certains domaines de recherche ont commencé à se concentrer sur la possibilité que les étudiants malvoyants se spécialisent dans les matières STEM (sciences, technologie, génie et mathématiques) au cours de l'enseignement supérieur. Cela permet de renforcer leur confiance dans le fait que l'apprentissage des mathématiques est possible pour eux. Les stratégies STEM mettent l'accent sur la nécessité que les professeurs d’étudiants malvoyants comprennent les méthodes d'enseignement efficace des mathématiques et, pour ce faire, de nombreux supports pédagogiques ont vu le jour autour du monde. Dans ce webinaire, les présentateurs vont mettre en avant plusieurs stratégies et supports pédagogiques parmi lesquels : des méthodes d’enseignement, la transformation de concepts visuels en expériences non-visuelles, des stratégies pour développer des compétences mathématiques pour les professeurs d’étudiants malvoyants, des stratégies pédagogiques technologiques pour un apprentissage interactif des mathématiques, entre autres.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7"/>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M.N.G. Mani,</w:t>
      </w:r>
      <w:r w:rsidRPr="00F3229A">
        <w:rPr>
          <w:rFonts w:asciiTheme="majorHAnsi" w:eastAsia="Times New Roman" w:hAnsiTheme="majorHAnsi" w:cstheme="majorHAnsi"/>
          <w:color w:val="000000"/>
          <w:sz w:val="30"/>
          <w:szCs w:val="30"/>
          <w:lang w:val="en-US"/>
        </w:rPr>
        <w:t> P.D.G., ICEVI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UMA Lancement du rapport sur l'emploi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L'emploi de personnes ayant une déficience visuelle est une préoccupation constante et le Comité de l'emploi de l'UMA a répondu par une enquête mondiale pour clarifier les facilitateurs et les obstacles au travail auxquels sont confrontés les personnes aveugles ou malvoyantes. Les enquêtes ont été diffusées en ligne en trois langues: anglais, espagnol et français. Des réponses ont été reçues de plus de 2 400 personnes dans 85 pays. De nombreux répondants (62%) avaient </w:t>
      </w:r>
      <w:r w:rsidRPr="00F3229A">
        <w:rPr>
          <w:rFonts w:asciiTheme="majorHAnsi" w:eastAsia="Times New Roman" w:hAnsiTheme="majorHAnsi" w:cstheme="majorHAnsi"/>
          <w:color w:val="000000"/>
          <w:sz w:val="30"/>
          <w:szCs w:val="30"/>
          <w:lang w:val="fr-FR"/>
        </w:rPr>
        <w:lastRenderedPageBreak/>
        <w:t>actuellement un emploi et presque tous (93%) avaient travaillé à un moment de leur vie. Les réponses quantitatives et qualitatives ont été collectées et analysées. Au cours de cette session, un aperçu des résultats de l'enquête sera présenté et discuté par les panélistes du Comité de l'emploi de l'UMA, suivi d'un segment de questions et réponses pour les participants.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8"/>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Karen Wolfe</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Description audio dans le monde entier</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En novembre 2018, l'Union mondiale des aveugles et le Conseil américain des aveugles ont publié son «Enquête sur l'activité de description audio dans le monde» révélant pour la première fois l'étendue de l'activité de description audio dans divers genres à travers le monde. http://acb.org/adp/docs/WBU-ACB%20%20AD%20Survey-FINAL%20REPORT.pdf Cette session rassemble des leaders de la description audio de neuf pays pour discuter de la mesure dans laquelle la description audio est devenue une méthode pour améliorer l'accès aux arts et à d'autres événements.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29"/>
        </w:numPr>
        <w:spacing w:before="100" w:beforeAutospacing="1" w:after="100" w:afterAutospacing="1" w:line="240" w:lineRule="auto"/>
        <w:ind w:left="426" w:hanging="284"/>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Joel Snyder,</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Session 7</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29-6-2021 - 6.30-8.00 pm Heure de Madrid (HM) 16.30-18.00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Responsabilité sociale et leadership, collaboration entre le secteur privé et les OPD</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0"/>
        </w:numPr>
        <w:spacing w:before="100" w:beforeAutospacing="1" w:after="100" w:afterAutospacing="1" w:line="240" w:lineRule="auto"/>
        <w:ind w:left="426" w:hanging="284"/>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Fernando Riaño</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UMA Accessibility Go, Un guide pour l'action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Dans cette session, l'Union Mondiale des Aveugles (UMA) et CBM Global Disability Inclusion donneront une orientation sur Accessibility GO! Un guide d'action. Il s'agit d'une ressource pratique pour faire changer les choses - aider les organisations à tous les niveaux à prendre des mesures en faveur de l'accessibilité. Avec ce guide, les organisations apprendront à atteindre progressivement 7 engagements essentiels en matière d'accessibilité dans les environnements bâtis, l'information et les communications, l'achat de biens et services, la formation et le développement des capacités, les programmes, les réunions et les événements, le recrutement et la gestion des ressources humaines (RH).</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fr-FR"/>
        </w:rPr>
        <w:t xml:space="preserve">Grâce à un dialogue interactif et au partage des leçons apprises et des expériences, la session fournira aux membres de l'UMA des informations sur la manière d'utiliser le guide et de lancer le chemin vers l'accessibilité complète. </w:t>
      </w:r>
      <w:r w:rsidRPr="00F3229A">
        <w:rPr>
          <w:rFonts w:asciiTheme="majorHAnsi" w:eastAsia="Times New Roman" w:hAnsiTheme="majorHAnsi" w:cstheme="majorHAnsi"/>
          <w:color w:val="000000"/>
          <w:sz w:val="30"/>
          <w:szCs w:val="30"/>
          <w:lang w:val="en-US"/>
        </w:rPr>
        <w:t>Les composants de la session comprennent:</w:t>
      </w:r>
    </w:p>
    <w:p w:rsidR="00F3229A" w:rsidRPr="00F3229A" w:rsidRDefault="00F3229A" w:rsidP="000552D2">
      <w:pPr>
        <w:numPr>
          <w:ilvl w:val="0"/>
          <w:numId w:val="31"/>
        </w:numPr>
        <w:tabs>
          <w:tab w:val="clear" w:pos="720"/>
          <w:tab w:val="num" w:pos="709"/>
        </w:tabs>
        <w:spacing w:before="100" w:beforeAutospacing="1" w:after="100" w:afterAutospacing="1" w:line="240" w:lineRule="auto"/>
        <w:ind w:left="709"/>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L'analyse de rentabilisation de l'accessibilité: comprendre pourquoi l'accessibilité, en tant que droit de l'homme, est essentielle pour renforcer la résilience, la durabilité à long terme de toute communauté ou organisation, et primordiale pour parvenir à l'inclusion.</w:t>
      </w:r>
    </w:p>
    <w:p w:rsidR="00F3229A" w:rsidRPr="00F3229A" w:rsidRDefault="00F3229A" w:rsidP="000552D2">
      <w:pPr>
        <w:numPr>
          <w:ilvl w:val="0"/>
          <w:numId w:val="31"/>
        </w:numPr>
        <w:tabs>
          <w:tab w:val="clear" w:pos="720"/>
          <w:tab w:val="num" w:pos="709"/>
        </w:tabs>
        <w:spacing w:before="100" w:beforeAutospacing="1" w:after="100" w:afterAutospacing="1" w:line="240" w:lineRule="auto"/>
        <w:ind w:left="709"/>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Les 7 engagements en matière d'accessibilité: comprendre ce que signifie l'accessibilité pour une organisation et comment l'appliquer dans tous les domaines de son travail.</w:t>
      </w:r>
    </w:p>
    <w:p w:rsidR="00F3229A" w:rsidRPr="00F3229A" w:rsidRDefault="00F3229A" w:rsidP="000552D2">
      <w:pPr>
        <w:numPr>
          <w:ilvl w:val="0"/>
          <w:numId w:val="31"/>
        </w:numPr>
        <w:tabs>
          <w:tab w:val="clear" w:pos="720"/>
          <w:tab w:val="num" w:pos="709"/>
        </w:tabs>
        <w:spacing w:before="100" w:beforeAutospacing="1" w:after="100" w:afterAutospacing="1" w:line="240" w:lineRule="auto"/>
        <w:ind w:left="709"/>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Le processus en 3 étapes: comprendre les principales étapes du cheminement vers l'accessibilité, de la préparation et de la réalisation d'une évaluation à la mise en œuvre de votre plan d'accessibilité et à son évaluation.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2"/>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Benjamin Dard</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Un apprentissage visionnaire rendu possible grâce à la technologie</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Dans de nombreux pays, la technologie a transformé l'éducation et le rythme du changement s'est accéléré en 2020. Quelles sont alors les </w:t>
      </w:r>
      <w:r w:rsidRPr="00F3229A">
        <w:rPr>
          <w:rFonts w:asciiTheme="majorHAnsi" w:eastAsia="Times New Roman" w:hAnsiTheme="majorHAnsi" w:cstheme="majorHAnsi"/>
          <w:color w:val="000000"/>
          <w:sz w:val="30"/>
          <w:szCs w:val="30"/>
          <w:lang w:val="fr-FR"/>
        </w:rPr>
        <w:lastRenderedPageBreak/>
        <w:t>opportunités et les compétences qui transformeront les chances dans la vie des apprenants aveugles et malvoyants? Comment pouvons-nous nous assurer que la technologie permet véritablement l’éducation et qu’elle n’est pas une distraction ou, pire encore, un gaspillage de ressources rares? Cette session apprendra comment le cadre d'apprentissage visionnaire ICEVI fournit un modèle simple pour placer la technologie dans un contexte holistique. Nous apprendrons comment les TIC pour l'éducation inclusive ont contribué à soutenir l'éducation des apprenants ayant une déficience visuelle, même pendant la pandémie. Comment les compétences informatiques essentielles sont intégrées dans le programme d'une école sud-africaine. Et comment une ONG européenne et une organisation ouest-africaine de lutte contre la cécité travaillent ensemble pour transformer l'accès à l'apprentissage et à l'emploi dans un projet pluriannuel. Enfin, nous entendrons parler du Kenya comment les parties prenantes se sont réunies et utilisent le modèle d'apprentissage visionnaire pour développer et fournir de meilleurs résultats en matière d'éducation grâce à des technologies accessibles.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3"/>
        </w:numPr>
        <w:spacing w:before="100" w:beforeAutospacing="1" w:after="100" w:afterAutospacing="1" w:line="240" w:lineRule="auto"/>
        <w:ind w:left="567"/>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Praveena Sukhraj</w:t>
      </w:r>
      <w:r w:rsidRPr="00F3229A">
        <w:rPr>
          <w:rFonts w:asciiTheme="majorHAnsi" w:eastAsia="Times New Roman" w:hAnsiTheme="majorHAnsi" w:cstheme="majorHAnsi"/>
          <w:color w:val="000000"/>
          <w:sz w:val="30"/>
          <w:szCs w:val="30"/>
          <w:lang w:val="en-US"/>
        </w:rPr>
        <w:t> or </w:t>
      </w:r>
      <w:r w:rsidRPr="000552D2">
        <w:rPr>
          <w:rFonts w:asciiTheme="majorHAnsi" w:eastAsia="Times New Roman" w:hAnsiTheme="majorHAnsi" w:cstheme="majorHAnsi"/>
          <w:b/>
          <w:bCs/>
          <w:color w:val="000000"/>
          <w:sz w:val="30"/>
          <w:szCs w:val="30"/>
          <w:lang w:val="en-US"/>
        </w:rPr>
        <w:t>Gertrude Fefoame</w:t>
      </w:r>
      <w:r w:rsidRPr="00F3229A">
        <w:rPr>
          <w:rFonts w:asciiTheme="majorHAnsi" w:eastAsia="Times New Roman" w:hAnsiTheme="majorHAnsi" w:cstheme="majorHAnsi"/>
          <w:color w:val="000000"/>
          <w:sz w:val="30"/>
          <w:szCs w:val="30"/>
          <w:lang w:val="en-US"/>
        </w:rPr>
        <w:t> or </w:t>
      </w:r>
      <w:r w:rsidRPr="000552D2">
        <w:rPr>
          <w:rFonts w:asciiTheme="majorHAnsi" w:eastAsia="Times New Roman" w:hAnsiTheme="majorHAnsi" w:cstheme="majorHAnsi"/>
          <w:b/>
          <w:bCs/>
          <w:color w:val="000000"/>
          <w:sz w:val="30"/>
          <w:szCs w:val="30"/>
          <w:lang w:val="en-US"/>
        </w:rPr>
        <w:t>Martin Keiti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Session 8:</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C00354"/>
          <w:sz w:val="30"/>
          <w:szCs w:val="30"/>
          <w:lang w:val="en-US"/>
        </w:rPr>
      </w:pPr>
      <w:r w:rsidRPr="000552D2">
        <w:rPr>
          <w:rFonts w:asciiTheme="majorHAnsi" w:eastAsia="Times New Roman" w:hAnsiTheme="majorHAnsi" w:cstheme="majorHAnsi"/>
          <w:b/>
          <w:bCs/>
          <w:color w:val="C00354"/>
          <w:sz w:val="30"/>
          <w:szCs w:val="30"/>
          <w:lang w:val="en-US"/>
        </w:rPr>
        <w:t>29-6-2021 -8.30-10.00 pm Madrid Time (HM) 18.30-20.00 GMT</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Éducation et soin à la petite enfance (VI)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L’UNESCO définit la tendre enfance comme la première étape et la plus décisive d’un apprentissage et d’un développement qui durera toute la vie. Ce webinaire est modéré par la Dr Frances Gentle, présidente d’ICEVI et présente des perspectives sur les soins à la petite enfance et l’éducation pour jeunes enfants malvoyants.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4"/>
        </w:numPr>
        <w:spacing w:before="100" w:beforeAutospacing="1" w:after="100" w:afterAutospacing="1" w:line="240" w:lineRule="auto"/>
        <w:ind w:left="426"/>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Dr. Frances Gentle,</w:t>
      </w:r>
      <w:r w:rsidRPr="00F3229A">
        <w:rPr>
          <w:rFonts w:asciiTheme="majorHAnsi" w:eastAsia="Times New Roman" w:hAnsiTheme="majorHAnsi" w:cstheme="majorHAnsi"/>
          <w:color w:val="000000"/>
          <w:sz w:val="30"/>
          <w:szCs w:val="30"/>
          <w:lang w:val="en-US"/>
        </w:rPr>
        <w:t> President, ICEVI</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Approche novatrice de l’éducation des professeurs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lastRenderedPageBreak/>
        <w:t>L'Objectif de développement durable n ° 4 envisage un monde où une éducation de qualité inclusive et équitable est accessible à tous. Sans personnel qualifié, cependant, rien ne garantit que l'éducation inclusive sera équitable pour les élèves ayant une déficience visuelle, dont le handicap modifie la manière dont ils acquièrent des informations pour apprendre. Le fondement de la formation des enseignants est que la cécité et la déficience visuelle affectent la façon dont les enfants apprennent et non ce qu'ils apprennent. Pourtant, même après plus de 170 ans, les enseignants et les agents communautaires qui comprennent ce principe restent rares. Si nous voulons respecter le principe de base de l'ODD 4, nous aurons besoin de plus de personnel qui comprend et sait comment aider les enfants malvoyants à atteindre leurs objectifs éducatifs. Ce webinaire présentera différents modèles de préparation des enseignants qui peuvent aider à assurer une éducation de qualité équitable pour tous les enfants aveugles et malvoyants.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5"/>
        </w:numPr>
        <w:spacing w:before="100" w:beforeAutospacing="1" w:after="100" w:afterAutospacing="1" w:line="240" w:lineRule="auto"/>
        <w:ind w:left="2970"/>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Kay Alicyn Ferrell,</w:t>
      </w:r>
      <w:r w:rsidRPr="00F3229A">
        <w:rPr>
          <w:rFonts w:asciiTheme="majorHAnsi" w:eastAsia="Times New Roman" w:hAnsiTheme="majorHAnsi" w:cstheme="majorHAnsi"/>
          <w:color w:val="000000"/>
          <w:sz w:val="30"/>
          <w:szCs w:val="30"/>
          <w:lang w:val="fr-FR"/>
        </w:rPr>
        <w:t> Président régionale d’Amérique du Nord/Caraïbes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0552D2">
        <w:rPr>
          <w:rFonts w:asciiTheme="majorHAnsi" w:eastAsia="Times New Roman" w:hAnsiTheme="majorHAnsi" w:cstheme="majorHAnsi"/>
          <w:b/>
          <w:bCs/>
          <w:color w:val="000000"/>
          <w:sz w:val="30"/>
          <w:szCs w:val="30"/>
          <w:lang w:val="fr-FR"/>
        </w:rPr>
        <w:t>De nouvelles façons d'aller d'ici à là, entre les étages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Pour les personnes aveugles, malvoyantes ou sourdes-aveugles, voyager en toute autonomie peut être un défi, bien que toujours souhaité! C'est pire en ces jours de COVID, où personne n'est impatient d'entrer en contact avec des panneaux, des boutons, des portes qui ont peut-être déjà été touchés par des étrangers. Une vérité commune est que tout le monde, dans les déplacements de routine, devra éventuellement utiliser un ascenseur. Cela peut être un problème pour les personnes aveugles car a) il faut connaître l'emplacement de l'ascenseur, b) trouver le bouton pour appeler l'ascenseur (contact) c) connaître l'arrivée de votre ascenseur d) trouver les commandes intérieures et sélectionnez votre destination e) connaître votre arrivée à destination. et plus.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 xml:space="preserve">KONE, un méga-fabricant finlandais de «matériel de déplacement de personnes» avec un nombre de services quotidiens de plus d'un </w:t>
      </w:r>
      <w:r w:rsidRPr="00F3229A">
        <w:rPr>
          <w:rFonts w:asciiTheme="majorHAnsi" w:eastAsia="Times New Roman" w:hAnsiTheme="majorHAnsi" w:cstheme="majorHAnsi"/>
          <w:color w:val="000000"/>
          <w:sz w:val="30"/>
          <w:szCs w:val="30"/>
          <w:lang w:val="fr-FR"/>
        </w:rPr>
        <w:lastRenderedPageBreak/>
        <w:t>milliard, s'est associé à BlindSquare pour résoudre les problèmes de front, en simplifiant les déplacements entre les étages et au-delà, avec facilité. Par toucher sur votre propre appareil, ou commande, en utilisant votre propre voix</w:t>
      </w:r>
      <w:r w:rsidRPr="00F3229A">
        <w:rPr>
          <w:rFonts w:asciiTheme="majorHAnsi" w:eastAsia="Times New Roman" w:hAnsiTheme="majorHAnsi" w:cstheme="majorHAnsi"/>
          <w:color w:val="000000"/>
          <w:sz w:val="30"/>
          <w:szCs w:val="30"/>
          <w:lang w:val="fr-FR"/>
        </w:rPr>
        <w:br/>
        <w:t>Ce panel apportera des informations et décrira les avantages pratiques.</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Modérateur:</w:t>
      </w:r>
    </w:p>
    <w:p w:rsidR="00F3229A" w:rsidRPr="00F3229A" w:rsidRDefault="00F3229A" w:rsidP="000552D2">
      <w:pPr>
        <w:numPr>
          <w:ilvl w:val="0"/>
          <w:numId w:val="36"/>
        </w:numPr>
        <w:spacing w:before="100" w:beforeAutospacing="1" w:after="100" w:afterAutospacing="1" w:line="240" w:lineRule="auto"/>
        <w:ind w:left="2970"/>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Rob Nevin,</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Leadership inclusif et proposition</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Dans un monde où les entreprises et les organisations deviennent de plus en plus globales et en même temps plus proche des citoyens, nous devons être en mesure de développer un leadership basé sur la diversité, qui mette en avant l'inclusion comme une règle générale. L’idée d’un leadership inclusif et visant un but précis concerne tous les responsables au sein d’une organisation et tous les échelons de la chaîne de valeur de l’organisation. Les directeurs généraux des organisations sont chargés de promouvoir l’intégration et la diversité. Ils ne doivent plus agir en tant que directeurs mais exercer leur rôle de leader avec un objectif, non seulement dans leur propre environnement mais dans tous les projets de leur entreprise (leur marque, leur réputation, la durabilité, la responsabilité, etc.). Ce webinaire/atelier a pour but de partager des idées et des expériences pour encourager le développement d’un leadership inclusif et dans un but précis. Nous bénéficierons d'un panel de dirigeants de plusieurs organisations qui ont mis en place des actions, ou qui ont réussi à diriger différentes équipes pour que leur organisation devienne une entreprise responsable en termes d’intégration et de diversité.</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Moderator</w:t>
      </w:r>
      <w:r w:rsidRPr="00F3229A">
        <w:rPr>
          <w:rFonts w:asciiTheme="majorHAnsi" w:eastAsia="Times New Roman" w:hAnsiTheme="majorHAnsi" w:cstheme="majorHAnsi"/>
          <w:color w:val="000000"/>
          <w:sz w:val="30"/>
          <w:szCs w:val="30"/>
          <w:lang w:val="en-US"/>
        </w:rPr>
        <w:t>:</w:t>
      </w:r>
    </w:p>
    <w:p w:rsidR="00F3229A" w:rsidRPr="00F3229A" w:rsidRDefault="00F3229A" w:rsidP="000552D2">
      <w:pPr>
        <w:numPr>
          <w:ilvl w:val="0"/>
          <w:numId w:val="37"/>
        </w:numPr>
        <w:spacing w:before="100" w:beforeAutospacing="1" w:after="100" w:afterAutospacing="1" w:line="240" w:lineRule="auto"/>
        <w:ind w:left="2970"/>
        <w:jc w:val="both"/>
        <w:rPr>
          <w:rFonts w:asciiTheme="majorHAnsi" w:eastAsia="Times New Roman" w:hAnsiTheme="majorHAnsi" w:cstheme="majorHAnsi"/>
          <w:color w:val="000000"/>
          <w:sz w:val="30"/>
          <w:szCs w:val="30"/>
          <w:lang w:val="en-US"/>
        </w:rPr>
      </w:pPr>
      <w:r w:rsidRPr="000552D2">
        <w:rPr>
          <w:rFonts w:asciiTheme="majorHAnsi" w:eastAsia="Times New Roman" w:hAnsiTheme="majorHAnsi" w:cstheme="majorHAnsi"/>
          <w:b/>
          <w:bCs/>
          <w:color w:val="000000"/>
          <w:sz w:val="30"/>
          <w:szCs w:val="30"/>
          <w:lang w:val="en-US"/>
        </w:rPr>
        <w:t>Fernando Riaño</w:t>
      </w:r>
      <w:r w:rsidRPr="00F3229A">
        <w:rPr>
          <w:rFonts w:asciiTheme="majorHAnsi" w:eastAsia="Times New Roman" w:hAnsiTheme="majorHAnsi" w:cstheme="majorHAnsi"/>
          <w:color w:val="000000"/>
          <w:sz w:val="30"/>
          <w:szCs w:val="30"/>
          <w:lang w:val="en-US"/>
        </w:rPr>
        <w:t>, UMA</w:t>
      </w:r>
    </w:p>
    <w:p w:rsidR="00F3229A" w:rsidRPr="00F3229A" w:rsidRDefault="00F3229A" w:rsidP="000552D2">
      <w:pPr>
        <w:pBdr>
          <w:bottom w:val="single" w:sz="24" w:space="0" w:color="C00354"/>
        </w:pBdr>
        <w:spacing w:before="100" w:beforeAutospacing="1" w:after="100" w:afterAutospacing="1" w:line="240" w:lineRule="auto"/>
        <w:jc w:val="both"/>
        <w:outlineLvl w:val="2"/>
        <w:rPr>
          <w:rFonts w:asciiTheme="majorHAnsi" w:eastAsia="Times New Roman" w:hAnsiTheme="majorHAnsi" w:cstheme="majorHAnsi"/>
          <w:b/>
          <w:bCs/>
          <w:color w:val="C00354"/>
          <w:sz w:val="56"/>
          <w:szCs w:val="56"/>
          <w:lang w:val="en-US"/>
        </w:rPr>
      </w:pPr>
      <w:r w:rsidRPr="00F3229A">
        <w:rPr>
          <w:rFonts w:asciiTheme="majorHAnsi" w:eastAsia="Times New Roman" w:hAnsiTheme="majorHAnsi" w:cstheme="majorHAnsi"/>
          <w:b/>
          <w:bCs/>
          <w:color w:val="C00354"/>
          <w:sz w:val="56"/>
          <w:szCs w:val="56"/>
          <w:lang w:val="en-US"/>
        </w:rPr>
        <w:t>Mercredi 30 juin</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 xml:space="preserve">Séance de fin d'année 12h30 - 14h00, heure de Madrid </w:t>
      </w:r>
      <w:r w:rsidRPr="000552D2">
        <w:rPr>
          <w:rFonts w:asciiTheme="majorHAnsi" w:eastAsia="Times New Roman" w:hAnsiTheme="majorHAnsi" w:cstheme="majorHAnsi"/>
          <w:b/>
          <w:bCs/>
          <w:color w:val="8F1F76"/>
          <w:szCs w:val="24"/>
          <w:lang w:val="fr-FR"/>
        </w:rPr>
        <w:t>(HM)</w:t>
      </w:r>
      <w:r w:rsidRPr="00F3229A">
        <w:rPr>
          <w:rFonts w:asciiTheme="majorHAnsi" w:eastAsia="Times New Roman" w:hAnsiTheme="majorHAnsi" w:cstheme="majorHAnsi"/>
          <w:b/>
          <w:bCs/>
          <w:color w:val="8F1F76"/>
          <w:szCs w:val="24"/>
          <w:lang w:val="fr-FR"/>
        </w:rPr>
        <w:t xml:space="preserve"> 10h30-12h00 GMT</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lastRenderedPageBreak/>
        <w:t>Mot de bienvenue - Président ONCE</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Mot de bienvenue - Président élu, UMA</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Mot de bienvenue - Président élu, ICEVI</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Présentation de nouveaux présidents régionaux de l'UMA et de l'ICEVI</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en-US"/>
        </w:rPr>
      </w:pPr>
      <w:r w:rsidRPr="00F3229A">
        <w:rPr>
          <w:rFonts w:asciiTheme="majorHAnsi" w:eastAsia="Times New Roman" w:hAnsiTheme="majorHAnsi" w:cstheme="majorHAnsi"/>
          <w:color w:val="000000"/>
          <w:sz w:val="30"/>
          <w:szCs w:val="30"/>
          <w:lang w:val="en-US"/>
        </w:rPr>
        <w:t>Récompenses de l'UMA</w:t>
      </w:r>
    </w:p>
    <w:p w:rsidR="00F3229A" w:rsidRPr="00F3229A" w:rsidRDefault="00F3229A" w:rsidP="000552D2">
      <w:pPr>
        <w:numPr>
          <w:ilvl w:val="0"/>
          <w:numId w:val="38"/>
        </w:numPr>
        <w:spacing w:before="100" w:beforeAutospacing="1" w:after="100" w:afterAutospacing="1" w:line="240" w:lineRule="auto"/>
        <w:ind w:left="851"/>
        <w:jc w:val="both"/>
        <w:rPr>
          <w:rFonts w:asciiTheme="majorHAnsi" w:eastAsia="Times New Roman" w:hAnsiTheme="majorHAnsi" w:cstheme="majorHAnsi"/>
          <w:color w:val="000000"/>
          <w:sz w:val="30"/>
          <w:szCs w:val="30"/>
          <w:lang w:val="fr-FR"/>
        </w:rPr>
      </w:pPr>
      <w:r w:rsidRPr="00F3229A">
        <w:rPr>
          <w:rFonts w:asciiTheme="majorHAnsi" w:eastAsia="Times New Roman" w:hAnsiTheme="majorHAnsi" w:cstheme="majorHAnsi"/>
          <w:color w:val="000000"/>
          <w:sz w:val="30"/>
          <w:szCs w:val="30"/>
          <w:lang w:val="fr-FR"/>
        </w:rPr>
        <w:t>Adresse de la Valedictoire (à inviter)</w:t>
      </w:r>
    </w:p>
    <w:p w:rsidR="00F3229A" w:rsidRPr="00F3229A" w:rsidRDefault="00F3229A" w:rsidP="000552D2">
      <w:pPr>
        <w:spacing w:before="100" w:beforeAutospacing="1" w:after="100" w:afterAutospacing="1" w:line="240" w:lineRule="auto"/>
        <w:jc w:val="both"/>
        <w:outlineLvl w:val="3"/>
        <w:rPr>
          <w:rFonts w:asciiTheme="majorHAnsi" w:eastAsia="Times New Roman" w:hAnsiTheme="majorHAnsi" w:cstheme="majorHAnsi"/>
          <w:b/>
          <w:bCs/>
          <w:color w:val="8F1F76"/>
          <w:szCs w:val="24"/>
          <w:lang w:val="fr-FR"/>
        </w:rPr>
      </w:pPr>
      <w:r w:rsidRPr="00F3229A">
        <w:rPr>
          <w:rFonts w:asciiTheme="majorHAnsi" w:eastAsia="Times New Roman" w:hAnsiTheme="majorHAnsi" w:cstheme="majorHAnsi"/>
          <w:b/>
          <w:bCs/>
          <w:color w:val="8F1F76"/>
          <w:szCs w:val="24"/>
          <w:lang w:val="fr-FR"/>
        </w:rPr>
        <w:t xml:space="preserve">Prochaine réunion du Comité exécutif de l'UMA 14h30 - 16h30, heure de Madrid </w:t>
      </w:r>
      <w:r w:rsidRPr="000552D2">
        <w:rPr>
          <w:rFonts w:asciiTheme="majorHAnsi" w:eastAsia="Times New Roman" w:hAnsiTheme="majorHAnsi" w:cstheme="majorHAnsi"/>
          <w:b/>
          <w:bCs/>
          <w:color w:val="8F1F76"/>
          <w:szCs w:val="24"/>
          <w:lang w:val="fr-FR"/>
        </w:rPr>
        <w:t>(HM)</w:t>
      </w:r>
      <w:r w:rsidRPr="00F3229A">
        <w:rPr>
          <w:rFonts w:asciiTheme="majorHAnsi" w:eastAsia="Times New Roman" w:hAnsiTheme="majorHAnsi" w:cstheme="majorHAnsi"/>
          <w:b/>
          <w:bCs/>
          <w:color w:val="8F1F76"/>
          <w:szCs w:val="24"/>
          <w:lang w:val="fr-FR"/>
        </w:rPr>
        <w:t xml:space="preserve"> 12h30-13h30 GMT</w:t>
      </w:r>
    </w:p>
    <w:p w:rsidR="00F3229A" w:rsidRPr="00F3229A" w:rsidRDefault="00F3229A" w:rsidP="000552D2">
      <w:pPr>
        <w:spacing w:before="100" w:beforeAutospacing="1" w:after="100" w:afterAutospacing="1" w:line="240" w:lineRule="auto"/>
        <w:jc w:val="both"/>
        <w:outlineLvl w:val="1"/>
        <w:rPr>
          <w:rFonts w:asciiTheme="majorHAnsi" w:eastAsia="Times New Roman" w:hAnsiTheme="majorHAnsi" w:cstheme="majorHAnsi"/>
          <w:b/>
          <w:bCs/>
          <w:caps/>
          <w:color w:val="4C555A"/>
          <w:sz w:val="20"/>
          <w:szCs w:val="20"/>
          <w:lang w:val="fr-FR"/>
        </w:rPr>
      </w:pPr>
      <w:r w:rsidRPr="000552D2">
        <w:rPr>
          <w:rFonts w:asciiTheme="majorHAnsi" w:eastAsia="Times New Roman" w:hAnsiTheme="majorHAnsi" w:cstheme="majorHAnsi"/>
          <w:b/>
          <w:bCs/>
          <w:caps/>
          <w:color w:val="4C555A"/>
          <w:sz w:val="20"/>
          <w:szCs w:val="20"/>
          <w:lang w:val="fr-FR"/>
        </w:rPr>
        <w:t>PROGRAMME D’ÉVÉNEMENTS COMPLÉMENTAIRES WBS’21</w:t>
      </w:r>
    </w:p>
    <w:p w:rsidR="00F3229A" w:rsidRPr="00F3229A" w:rsidRDefault="00F3229A" w:rsidP="000552D2">
      <w:pPr>
        <w:spacing w:before="100" w:beforeAutospacing="1" w:after="100" w:afterAutospacing="1" w:line="240" w:lineRule="auto"/>
        <w:jc w:val="both"/>
        <w:rPr>
          <w:rFonts w:asciiTheme="majorHAnsi" w:eastAsia="Times New Roman" w:hAnsiTheme="majorHAnsi" w:cstheme="majorHAnsi"/>
          <w:color w:val="000000"/>
          <w:sz w:val="18"/>
          <w:szCs w:val="18"/>
          <w:lang w:val="fr-FR"/>
        </w:rPr>
      </w:pPr>
      <w:r w:rsidRPr="00F3229A">
        <w:rPr>
          <w:rFonts w:asciiTheme="majorHAnsi" w:eastAsia="Times New Roman" w:hAnsiTheme="majorHAnsi" w:cstheme="majorHAnsi"/>
          <w:color w:val="000000"/>
          <w:sz w:val="18"/>
          <w:szCs w:val="18"/>
          <w:lang w:val="fr-FR"/>
        </w:rPr>
        <w:t>Vendredi 18 : Webinaire Forum Nueva Economía. Intervention du Président de GSO</w:t>
      </w:r>
    </w:p>
    <w:p w:rsidR="002946B2" w:rsidRPr="000552D2" w:rsidRDefault="002946B2">
      <w:pPr>
        <w:rPr>
          <w:lang w:val="fr-FR"/>
        </w:rPr>
      </w:pPr>
    </w:p>
    <w:sectPr w:rsidR="002946B2" w:rsidRPr="000552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45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0E2"/>
    <w:multiLevelType w:val="multilevel"/>
    <w:tmpl w:val="C0D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D92"/>
    <w:multiLevelType w:val="multilevel"/>
    <w:tmpl w:val="21B8DFBC"/>
    <w:lvl w:ilvl="0">
      <w:start w:val="1"/>
      <w:numFmt w:val="bullet"/>
      <w:lvlText w:val=""/>
      <w:lvlJc w:val="left"/>
      <w:pPr>
        <w:tabs>
          <w:tab w:val="num" w:pos="-252"/>
        </w:tabs>
        <w:ind w:left="-252" w:hanging="360"/>
      </w:pPr>
      <w:rPr>
        <w:rFonts w:ascii="Symbol" w:hAnsi="Symbol" w:hint="default"/>
        <w:sz w:val="20"/>
      </w:rPr>
    </w:lvl>
    <w:lvl w:ilvl="1" w:tentative="1">
      <w:start w:val="1"/>
      <w:numFmt w:val="bullet"/>
      <w:lvlText w:val="o"/>
      <w:lvlJc w:val="left"/>
      <w:pPr>
        <w:tabs>
          <w:tab w:val="num" w:pos="468"/>
        </w:tabs>
        <w:ind w:left="468" w:hanging="360"/>
      </w:pPr>
      <w:rPr>
        <w:rFonts w:ascii="Courier New" w:hAnsi="Courier New" w:hint="default"/>
        <w:sz w:val="20"/>
      </w:rPr>
    </w:lvl>
    <w:lvl w:ilvl="2" w:tentative="1">
      <w:start w:val="1"/>
      <w:numFmt w:val="bullet"/>
      <w:lvlText w:val=""/>
      <w:lvlJc w:val="left"/>
      <w:pPr>
        <w:tabs>
          <w:tab w:val="num" w:pos="1188"/>
        </w:tabs>
        <w:ind w:left="1188" w:hanging="360"/>
      </w:pPr>
      <w:rPr>
        <w:rFonts w:ascii="Wingdings" w:hAnsi="Wingdings" w:hint="default"/>
        <w:sz w:val="20"/>
      </w:rPr>
    </w:lvl>
    <w:lvl w:ilvl="3" w:tentative="1">
      <w:start w:val="1"/>
      <w:numFmt w:val="bullet"/>
      <w:lvlText w:val=""/>
      <w:lvlJc w:val="left"/>
      <w:pPr>
        <w:tabs>
          <w:tab w:val="num" w:pos="1908"/>
        </w:tabs>
        <w:ind w:left="1908" w:hanging="360"/>
      </w:pPr>
      <w:rPr>
        <w:rFonts w:ascii="Wingdings" w:hAnsi="Wingdings" w:hint="default"/>
        <w:sz w:val="20"/>
      </w:rPr>
    </w:lvl>
    <w:lvl w:ilvl="4" w:tentative="1">
      <w:start w:val="1"/>
      <w:numFmt w:val="bullet"/>
      <w:lvlText w:val=""/>
      <w:lvlJc w:val="left"/>
      <w:pPr>
        <w:tabs>
          <w:tab w:val="num" w:pos="2628"/>
        </w:tabs>
        <w:ind w:left="2628" w:hanging="360"/>
      </w:pPr>
      <w:rPr>
        <w:rFonts w:ascii="Wingdings" w:hAnsi="Wingdings" w:hint="default"/>
        <w:sz w:val="20"/>
      </w:rPr>
    </w:lvl>
    <w:lvl w:ilvl="5" w:tentative="1">
      <w:start w:val="1"/>
      <w:numFmt w:val="bullet"/>
      <w:lvlText w:val=""/>
      <w:lvlJc w:val="left"/>
      <w:pPr>
        <w:tabs>
          <w:tab w:val="num" w:pos="3348"/>
        </w:tabs>
        <w:ind w:left="3348" w:hanging="360"/>
      </w:pPr>
      <w:rPr>
        <w:rFonts w:ascii="Wingdings" w:hAnsi="Wingdings" w:hint="default"/>
        <w:sz w:val="20"/>
      </w:rPr>
    </w:lvl>
    <w:lvl w:ilvl="6" w:tentative="1">
      <w:start w:val="1"/>
      <w:numFmt w:val="bullet"/>
      <w:lvlText w:val=""/>
      <w:lvlJc w:val="left"/>
      <w:pPr>
        <w:tabs>
          <w:tab w:val="num" w:pos="4068"/>
        </w:tabs>
        <w:ind w:left="4068" w:hanging="360"/>
      </w:pPr>
      <w:rPr>
        <w:rFonts w:ascii="Wingdings" w:hAnsi="Wingdings" w:hint="default"/>
        <w:sz w:val="20"/>
      </w:rPr>
    </w:lvl>
    <w:lvl w:ilvl="7" w:tentative="1">
      <w:start w:val="1"/>
      <w:numFmt w:val="bullet"/>
      <w:lvlText w:val=""/>
      <w:lvlJc w:val="left"/>
      <w:pPr>
        <w:tabs>
          <w:tab w:val="num" w:pos="4788"/>
        </w:tabs>
        <w:ind w:left="4788" w:hanging="360"/>
      </w:pPr>
      <w:rPr>
        <w:rFonts w:ascii="Wingdings" w:hAnsi="Wingdings" w:hint="default"/>
        <w:sz w:val="20"/>
      </w:rPr>
    </w:lvl>
    <w:lvl w:ilvl="8" w:tentative="1">
      <w:start w:val="1"/>
      <w:numFmt w:val="bullet"/>
      <w:lvlText w:val=""/>
      <w:lvlJc w:val="left"/>
      <w:pPr>
        <w:tabs>
          <w:tab w:val="num" w:pos="5508"/>
        </w:tabs>
        <w:ind w:left="5508" w:hanging="360"/>
      </w:pPr>
      <w:rPr>
        <w:rFonts w:ascii="Wingdings" w:hAnsi="Wingdings" w:hint="default"/>
        <w:sz w:val="20"/>
      </w:rPr>
    </w:lvl>
  </w:abstractNum>
  <w:abstractNum w:abstractNumId="2" w15:restartNumberingAfterBreak="0">
    <w:nsid w:val="19FE59B6"/>
    <w:multiLevelType w:val="multilevel"/>
    <w:tmpl w:val="C26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42EA8"/>
    <w:multiLevelType w:val="multilevel"/>
    <w:tmpl w:val="263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D4757"/>
    <w:multiLevelType w:val="multilevel"/>
    <w:tmpl w:val="3AF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B0D35"/>
    <w:multiLevelType w:val="multilevel"/>
    <w:tmpl w:val="D48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6564"/>
    <w:multiLevelType w:val="multilevel"/>
    <w:tmpl w:val="01D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C543E"/>
    <w:multiLevelType w:val="multilevel"/>
    <w:tmpl w:val="380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90DB2"/>
    <w:multiLevelType w:val="multilevel"/>
    <w:tmpl w:val="30A2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A7D3B"/>
    <w:multiLevelType w:val="multilevel"/>
    <w:tmpl w:val="38F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6743B"/>
    <w:multiLevelType w:val="multilevel"/>
    <w:tmpl w:val="894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22C19"/>
    <w:multiLevelType w:val="multilevel"/>
    <w:tmpl w:val="125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34F"/>
    <w:multiLevelType w:val="multilevel"/>
    <w:tmpl w:val="246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F521A"/>
    <w:multiLevelType w:val="multilevel"/>
    <w:tmpl w:val="E6A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A6264"/>
    <w:multiLevelType w:val="multilevel"/>
    <w:tmpl w:val="D31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075FD"/>
    <w:multiLevelType w:val="multilevel"/>
    <w:tmpl w:val="582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24318"/>
    <w:multiLevelType w:val="multilevel"/>
    <w:tmpl w:val="7A0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B3459"/>
    <w:multiLevelType w:val="multilevel"/>
    <w:tmpl w:val="F9F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60368"/>
    <w:multiLevelType w:val="multilevel"/>
    <w:tmpl w:val="BF4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70D07"/>
    <w:multiLevelType w:val="multilevel"/>
    <w:tmpl w:val="CC4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933DC"/>
    <w:multiLevelType w:val="multilevel"/>
    <w:tmpl w:val="5C5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44B0B"/>
    <w:multiLevelType w:val="multilevel"/>
    <w:tmpl w:val="31A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55EF2"/>
    <w:multiLevelType w:val="multilevel"/>
    <w:tmpl w:val="8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33ADA"/>
    <w:multiLevelType w:val="multilevel"/>
    <w:tmpl w:val="ED6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F3FF5"/>
    <w:multiLevelType w:val="multilevel"/>
    <w:tmpl w:val="AA0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F0DBA"/>
    <w:multiLevelType w:val="multilevel"/>
    <w:tmpl w:val="AA3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97848"/>
    <w:multiLevelType w:val="multilevel"/>
    <w:tmpl w:val="4E4E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C7BF3"/>
    <w:multiLevelType w:val="multilevel"/>
    <w:tmpl w:val="DAE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20990"/>
    <w:multiLevelType w:val="multilevel"/>
    <w:tmpl w:val="0DB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B07DF"/>
    <w:multiLevelType w:val="multilevel"/>
    <w:tmpl w:val="587C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716A6"/>
    <w:multiLevelType w:val="multilevel"/>
    <w:tmpl w:val="0CE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B3B1A"/>
    <w:multiLevelType w:val="multilevel"/>
    <w:tmpl w:val="327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D080D"/>
    <w:multiLevelType w:val="multilevel"/>
    <w:tmpl w:val="280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42D38"/>
    <w:multiLevelType w:val="multilevel"/>
    <w:tmpl w:val="F62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86C35"/>
    <w:multiLevelType w:val="multilevel"/>
    <w:tmpl w:val="FA1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94708"/>
    <w:multiLevelType w:val="multilevel"/>
    <w:tmpl w:val="A866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0375C"/>
    <w:multiLevelType w:val="multilevel"/>
    <w:tmpl w:val="E08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97845"/>
    <w:multiLevelType w:val="multilevel"/>
    <w:tmpl w:val="9F6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E70DC"/>
    <w:multiLevelType w:val="multilevel"/>
    <w:tmpl w:val="053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
  </w:num>
  <w:num w:numId="3">
    <w:abstractNumId w:val="1"/>
  </w:num>
  <w:num w:numId="4">
    <w:abstractNumId w:val="26"/>
  </w:num>
  <w:num w:numId="5">
    <w:abstractNumId w:val="24"/>
  </w:num>
  <w:num w:numId="6">
    <w:abstractNumId w:val="18"/>
  </w:num>
  <w:num w:numId="7">
    <w:abstractNumId w:val="11"/>
  </w:num>
  <w:num w:numId="8">
    <w:abstractNumId w:val="25"/>
  </w:num>
  <w:num w:numId="9">
    <w:abstractNumId w:val="15"/>
  </w:num>
  <w:num w:numId="10">
    <w:abstractNumId w:val="37"/>
  </w:num>
  <w:num w:numId="11">
    <w:abstractNumId w:val="28"/>
  </w:num>
  <w:num w:numId="12">
    <w:abstractNumId w:val="12"/>
  </w:num>
  <w:num w:numId="13">
    <w:abstractNumId w:val="10"/>
  </w:num>
  <w:num w:numId="14">
    <w:abstractNumId w:val="22"/>
  </w:num>
  <w:num w:numId="15">
    <w:abstractNumId w:val="2"/>
  </w:num>
  <w:num w:numId="16">
    <w:abstractNumId w:val="8"/>
  </w:num>
  <w:num w:numId="17">
    <w:abstractNumId w:val="13"/>
  </w:num>
  <w:num w:numId="18">
    <w:abstractNumId w:val="16"/>
  </w:num>
  <w:num w:numId="19">
    <w:abstractNumId w:val="0"/>
  </w:num>
  <w:num w:numId="20">
    <w:abstractNumId w:val="29"/>
  </w:num>
  <w:num w:numId="21">
    <w:abstractNumId w:val="36"/>
  </w:num>
  <w:num w:numId="22">
    <w:abstractNumId w:val="21"/>
  </w:num>
  <w:num w:numId="23">
    <w:abstractNumId w:val="33"/>
  </w:num>
  <w:num w:numId="24">
    <w:abstractNumId w:val="6"/>
  </w:num>
  <w:num w:numId="25">
    <w:abstractNumId w:val="19"/>
  </w:num>
  <w:num w:numId="26">
    <w:abstractNumId w:val="27"/>
  </w:num>
  <w:num w:numId="27">
    <w:abstractNumId w:val="9"/>
  </w:num>
  <w:num w:numId="28">
    <w:abstractNumId w:val="17"/>
  </w:num>
  <w:num w:numId="29">
    <w:abstractNumId w:val="23"/>
  </w:num>
  <w:num w:numId="30">
    <w:abstractNumId w:val="31"/>
  </w:num>
  <w:num w:numId="31">
    <w:abstractNumId w:val="30"/>
  </w:num>
  <w:num w:numId="32">
    <w:abstractNumId w:val="20"/>
  </w:num>
  <w:num w:numId="33">
    <w:abstractNumId w:val="35"/>
  </w:num>
  <w:num w:numId="34">
    <w:abstractNumId w:val="3"/>
  </w:num>
  <w:num w:numId="35">
    <w:abstractNumId w:val="32"/>
  </w:num>
  <w:num w:numId="36">
    <w:abstractNumId w:val="38"/>
  </w:num>
  <w:num w:numId="37">
    <w:abstractNumId w:val="14"/>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9A"/>
    <w:rsid w:val="000552D2"/>
    <w:rsid w:val="002946B2"/>
    <w:rsid w:val="00F32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C00E"/>
  <w15:chartTrackingRefBased/>
  <w15:docId w15:val="{BC285CC4-C9F2-495C-BDFA-89245187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3229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F3229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4">
    <w:name w:val="heading 4"/>
    <w:basedOn w:val="Normal"/>
    <w:link w:val="Ttulo4Car"/>
    <w:uiPriority w:val="9"/>
    <w:qFormat/>
    <w:rsid w:val="00F3229A"/>
    <w:pPr>
      <w:spacing w:before="100" w:beforeAutospacing="1" w:after="100" w:afterAutospacing="1" w:line="240" w:lineRule="auto"/>
      <w:outlineLvl w:val="3"/>
    </w:pPr>
    <w:rPr>
      <w:rFonts w:ascii="Times New Roman" w:eastAsia="Times New Roman" w:hAnsi="Times New Roman" w:cs="Times New Roman"/>
      <w:b/>
      <w:bCs/>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229A"/>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uiPriority w:val="9"/>
    <w:rsid w:val="00F3229A"/>
    <w:rPr>
      <w:rFonts w:ascii="Times New Roman" w:eastAsia="Times New Roman" w:hAnsi="Times New Roman" w:cs="Times New Roman"/>
      <w:b/>
      <w:bCs/>
      <w:sz w:val="27"/>
      <w:szCs w:val="27"/>
      <w:lang w:val="en-US"/>
    </w:rPr>
  </w:style>
  <w:style w:type="character" w:customStyle="1" w:styleId="Ttulo4Car">
    <w:name w:val="Título 4 Car"/>
    <w:basedOn w:val="Fuentedeprrafopredeter"/>
    <w:link w:val="Ttulo4"/>
    <w:uiPriority w:val="9"/>
    <w:rsid w:val="00F3229A"/>
    <w:rPr>
      <w:rFonts w:ascii="Times New Roman" w:eastAsia="Times New Roman" w:hAnsi="Times New Roman" w:cs="Times New Roman"/>
      <w:b/>
      <w:bCs/>
      <w:szCs w:val="24"/>
      <w:lang w:val="en-US"/>
    </w:rPr>
  </w:style>
  <w:style w:type="paragraph" w:styleId="NormalWeb">
    <w:name w:val="Normal (Web)"/>
    <w:basedOn w:val="Normal"/>
    <w:uiPriority w:val="99"/>
    <w:semiHidden/>
    <w:unhideWhenUsed/>
    <w:rsid w:val="00F3229A"/>
    <w:pPr>
      <w:spacing w:before="100" w:beforeAutospacing="1" w:after="100" w:afterAutospacing="1" w:line="240" w:lineRule="auto"/>
    </w:pPr>
    <w:rPr>
      <w:rFonts w:ascii="Times New Roman" w:eastAsia="Times New Roman" w:hAnsi="Times New Roman" w:cs="Times New Roman"/>
      <w:szCs w:val="24"/>
      <w:lang w:val="en-US"/>
    </w:rPr>
  </w:style>
  <w:style w:type="character" w:styleId="Textoennegrita">
    <w:name w:val="Strong"/>
    <w:basedOn w:val="Fuentedeprrafopredeter"/>
    <w:uiPriority w:val="22"/>
    <w:qFormat/>
    <w:rsid w:val="00F3229A"/>
    <w:rPr>
      <w:b/>
      <w:bCs/>
    </w:rPr>
  </w:style>
  <w:style w:type="paragraph" w:customStyle="1" w:styleId="anfitrion">
    <w:name w:val="anfitrion"/>
    <w:basedOn w:val="Normal"/>
    <w:rsid w:val="00F3229A"/>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destacado">
    <w:name w:val="destacado"/>
    <w:basedOn w:val="Normal"/>
    <w:rsid w:val="00F3229A"/>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4053">
      <w:bodyDiv w:val="1"/>
      <w:marLeft w:val="0"/>
      <w:marRight w:val="0"/>
      <w:marTop w:val="0"/>
      <w:marBottom w:val="0"/>
      <w:divBdr>
        <w:top w:val="none" w:sz="0" w:space="0" w:color="auto"/>
        <w:left w:val="none" w:sz="0" w:space="0" w:color="auto"/>
        <w:bottom w:val="none" w:sz="0" w:space="0" w:color="auto"/>
        <w:right w:val="none" w:sz="0" w:space="0" w:color="auto"/>
      </w:divBdr>
      <w:divsChild>
        <w:div w:id="1567764369">
          <w:marLeft w:val="0"/>
          <w:marRight w:val="0"/>
          <w:marTop w:val="0"/>
          <w:marBottom w:val="1200"/>
          <w:divBdr>
            <w:top w:val="none" w:sz="0" w:space="0" w:color="auto"/>
            <w:left w:val="none" w:sz="0" w:space="0" w:color="auto"/>
            <w:bottom w:val="none" w:sz="0" w:space="0" w:color="auto"/>
            <w:right w:val="none" w:sz="0" w:space="0" w:color="auto"/>
          </w:divBdr>
        </w:div>
        <w:div w:id="1089086450">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6660</Words>
  <Characters>37968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de Mon González, Edurne</dc:creator>
  <cp:keywords/>
  <dc:description/>
  <cp:lastModifiedBy>Alvarez de Mon González, Edurne</cp:lastModifiedBy>
  <cp:revision>1</cp:revision>
  <dcterms:created xsi:type="dcterms:W3CDTF">2021-04-20T08:53:00Z</dcterms:created>
  <dcterms:modified xsi:type="dcterms:W3CDTF">2021-04-20T09:20:00Z</dcterms:modified>
</cp:coreProperties>
</file>